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A0" w:rsidRPr="007442BF" w:rsidRDefault="00B36BA0" w:rsidP="00B36BA0">
      <w:pPr>
        <w:jc w:val="center"/>
        <w:rPr>
          <w:rFonts w:ascii="Calibri" w:hAnsi="Calibri" w:cs="Arial"/>
          <w:b/>
          <w:sz w:val="32"/>
          <w:szCs w:val="32"/>
        </w:rPr>
      </w:pPr>
    </w:p>
    <w:p w:rsidR="00B36BA0" w:rsidRPr="007442BF" w:rsidRDefault="00B36BA0" w:rsidP="00B36BA0">
      <w:pPr>
        <w:jc w:val="center"/>
        <w:rPr>
          <w:rFonts w:ascii="Calibri" w:hAnsi="Calibri" w:cs="Arial"/>
          <w:b/>
          <w:sz w:val="32"/>
          <w:szCs w:val="32"/>
        </w:rPr>
      </w:pPr>
    </w:p>
    <w:p w:rsidR="00B36BA0" w:rsidRPr="007442BF" w:rsidRDefault="00B36BA0" w:rsidP="00B36BA0">
      <w:pPr>
        <w:jc w:val="center"/>
        <w:rPr>
          <w:rFonts w:ascii="Calibri" w:hAnsi="Calibri" w:cs="Arial"/>
          <w:b/>
          <w:sz w:val="32"/>
          <w:szCs w:val="32"/>
        </w:rPr>
      </w:pPr>
    </w:p>
    <w:p w:rsidR="00B36BA0" w:rsidRPr="007442BF" w:rsidRDefault="00B36BA0" w:rsidP="00B36BA0">
      <w:pPr>
        <w:jc w:val="center"/>
        <w:rPr>
          <w:rFonts w:ascii="Calibri" w:hAnsi="Calibri" w:cs="Arial"/>
          <w:b/>
          <w:sz w:val="32"/>
          <w:szCs w:val="32"/>
        </w:rPr>
      </w:pPr>
    </w:p>
    <w:p w:rsidR="00B36BA0" w:rsidRPr="007442BF" w:rsidRDefault="00B36BA0" w:rsidP="00B36BA0">
      <w:pPr>
        <w:jc w:val="center"/>
        <w:rPr>
          <w:rFonts w:ascii="Calibri" w:hAnsi="Calibri" w:cs="Arial"/>
          <w:b/>
          <w:sz w:val="32"/>
          <w:szCs w:val="32"/>
        </w:rPr>
      </w:pPr>
    </w:p>
    <w:p w:rsidR="00B36BA0" w:rsidRPr="007442BF" w:rsidRDefault="00B36BA0" w:rsidP="00B36BA0">
      <w:pPr>
        <w:jc w:val="center"/>
        <w:rPr>
          <w:rFonts w:ascii="Calibri" w:hAnsi="Calibri" w:cs="Arial"/>
          <w:b/>
          <w:sz w:val="32"/>
          <w:szCs w:val="32"/>
        </w:rPr>
      </w:pPr>
    </w:p>
    <w:p w:rsidR="00B36BA0" w:rsidRPr="007442BF" w:rsidRDefault="00B36BA0" w:rsidP="00B36BA0">
      <w:pPr>
        <w:jc w:val="center"/>
        <w:rPr>
          <w:rFonts w:ascii="Calibri" w:hAnsi="Calibri" w:cs="Arial"/>
          <w:b/>
          <w:sz w:val="36"/>
          <w:szCs w:val="36"/>
        </w:rPr>
      </w:pPr>
      <w:r w:rsidRPr="007442BF">
        <w:rPr>
          <w:rFonts w:ascii="Calibri" w:hAnsi="Calibri" w:cs="Arial"/>
          <w:b/>
          <w:sz w:val="36"/>
          <w:szCs w:val="36"/>
        </w:rPr>
        <w:t>Quarterly Financial Report No. 1</w:t>
      </w:r>
    </w:p>
    <w:p w:rsidR="00B36BA0" w:rsidRPr="007442BF" w:rsidRDefault="00B36BA0" w:rsidP="00B36BA0">
      <w:pPr>
        <w:jc w:val="center"/>
        <w:rPr>
          <w:rFonts w:ascii="Calibri" w:hAnsi="Calibri" w:cs="Arial"/>
          <w:sz w:val="20"/>
        </w:rPr>
      </w:pPr>
      <w:bookmarkStart w:id="0" w:name="_GoBack"/>
      <w:bookmarkEnd w:id="0"/>
      <w:r w:rsidRPr="007442BF">
        <w:rPr>
          <w:rFonts w:ascii="Calibri" w:hAnsi="Calibri" w:cs="Arial"/>
          <w:b/>
          <w:sz w:val="28"/>
          <w:szCs w:val="28"/>
        </w:rPr>
        <w:t>September 201</w:t>
      </w:r>
      <w:r>
        <w:rPr>
          <w:rFonts w:ascii="Calibri" w:hAnsi="Calibri" w:cs="Arial"/>
          <w:b/>
          <w:sz w:val="28"/>
          <w:szCs w:val="28"/>
        </w:rPr>
        <w:t>5</w:t>
      </w:r>
    </w:p>
    <w:p w:rsidR="00B36BA0" w:rsidRPr="007442BF" w:rsidRDefault="00B36BA0" w:rsidP="00B36BA0">
      <w:pPr>
        <w:spacing w:after="0"/>
        <w:jc w:val="center"/>
        <w:rPr>
          <w:rFonts w:ascii="Calibri" w:hAnsi="Calibri" w:cs="Arial"/>
          <w:sz w:val="20"/>
        </w:rPr>
      </w:pPr>
    </w:p>
    <w:p w:rsidR="00B36BA0" w:rsidRPr="007442BF" w:rsidRDefault="00B36BA0" w:rsidP="00B36BA0">
      <w:pPr>
        <w:spacing w:after="0"/>
        <w:jc w:val="center"/>
        <w:rPr>
          <w:rFonts w:ascii="Calibri" w:hAnsi="Calibri" w:cs="Arial"/>
          <w:sz w:val="20"/>
        </w:rPr>
      </w:pPr>
    </w:p>
    <w:p w:rsidR="00B36BA0" w:rsidRPr="007442BF" w:rsidRDefault="00B36BA0" w:rsidP="00B36BA0">
      <w:pPr>
        <w:jc w:val="center"/>
        <w:rPr>
          <w:rFonts w:ascii="Calibri" w:hAnsi="Calibri"/>
        </w:rPr>
      </w:pPr>
      <w:r>
        <w:rPr>
          <w:rFonts w:ascii="Calibri" w:hAnsi="Calibri"/>
          <w:noProof/>
          <w:lang w:eastAsia="en-AU"/>
        </w:rPr>
        <w:drawing>
          <wp:inline distT="0" distB="0" distL="0" distR="0" wp14:anchorId="53DF5B8A" wp14:editId="3AC78ECE">
            <wp:extent cx="946150" cy="114490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1144905"/>
                    </a:xfrm>
                    <a:prstGeom prst="rect">
                      <a:avLst/>
                    </a:prstGeom>
                    <a:noFill/>
                    <a:ln>
                      <a:noFill/>
                    </a:ln>
                  </pic:spPr>
                </pic:pic>
              </a:graphicData>
            </a:graphic>
          </wp:inline>
        </w:drawing>
      </w:r>
    </w:p>
    <w:p w:rsidR="00B36BA0" w:rsidRPr="007442BF" w:rsidRDefault="00B36BA0" w:rsidP="00B36BA0">
      <w:pPr>
        <w:jc w:val="center"/>
        <w:rPr>
          <w:rFonts w:ascii="Calibri" w:hAnsi="Calibri" w:cs="Arial"/>
          <w:sz w:val="16"/>
          <w:szCs w:val="16"/>
        </w:rPr>
      </w:pPr>
    </w:p>
    <w:p w:rsidR="00B36BA0" w:rsidRPr="007442BF" w:rsidRDefault="00B36BA0" w:rsidP="00B36BA0">
      <w:pPr>
        <w:spacing w:after="0"/>
        <w:jc w:val="center"/>
        <w:rPr>
          <w:rFonts w:ascii="Calibri" w:hAnsi="Calibri" w:cs="Arial"/>
          <w:sz w:val="20"/>
        </w:rPr>
      </w:pPr>
    </w:p>
    <w:p w:rsidR="00B36BA0" w:rsidRPr="007442BF" w:rsidRDefault="00B36BA0" w:rsidP="00B36BA0">
      <w:pPr>
        <w:spacing w:after="0"/>
        <w:jc w:val="center"/>
        <w:rPr>
          <w:rFonts w:ascii="Calibri" w:hAnsi="Calibri" w:cs="Arial"/>
          <w:sz w:val="20"/>
        </w:rPr>
      </w:pPr>
    </w:p>
    <w:p w:rsidR="00B36BA0" w:rsidRPr="007442BF" w:rsidRDefault="00B36BA0" w:rsidP="00B36BA0">
      <w:pPr>
        <w:spacing w:after="0"/>
        <w:jc w:val="center"/>
        <w:rPr>
          <w:rFonts w:ascii="Calibri" w:hAnsi="Calibri" w:cs="Arial"/>
          <w:sz w:val="20"/>
        </w:rPr>
      </w:pPr>
    </w:p>
    <w:p w:rsidR="00B36BA0" w:rsidRPr="007442BF" w:rsidRDefault="00B36BA0" w:rsidP="00B36BA0">
      <w:pPr>
        <w:spacing w:after="0"/>
        <w:jc w:val="center"/>
        <w:rPr>
          <w:rFonts w:ascii="Calibri" w:hAnsi="Calibri" w:cs="Arial"/>
          <w:sz w:val="20"/>
        </w:rPr>
      </w:pPr>
    </w:p>
    <w:p w:rsidR="00B36BA0" w:rsidRPr="007442BF" w:rsidRDefault="00B36BA0" w:rsidP="00B36BA0">
      <w:pPr>
        <w:spacing w:after="0"/>
        <w:jc w:val="center"/>
        <w:rPr>
          <w:rFonts w:ascii="Calibri" w:hAnsi="Calibri" w:cs="Arial"/>
          <w:sz w:val="20"/>
        </w:rPr>
      </w:pPr>
    </w:p>
    <w:p w:rsidR="00B36BA0" w:rsidRPr="007442BF" w:rsidRDefault="00B36BA0" w:rsidP="00B36BA0">
      <w:pPr>
        <w:jc w:val="center"/>
        <w:rPr>
          <w:rFonts w:ascii="Calibri" w:hAnsi="Calibri" w:cs="Arial"/>
          <w:szCs w:val="24"/>
        </w:rPr>
      </w:pPr>
      <w:r w:rsidRPr="007442BF">
        <w:rPr>
          <w:rFonts w:ascii="Calibri" w:hAnsi="Calibri" w:cs="Arial"/>
          <w:szCs w:val="24"/>
        </w:rPr>
        <w:t>Presented by</w:t>
      </w:r>
    </w:p>
    <w:p w:rsidR="00B36BA0" w:rsidRPr="007442BF" w:rsidRDefault="00B36BA0" w:rsidP="00B36BA0">
      <w:pPr>
        <w:jc w:val="center"/>
        <w:rPr>
          <w:rFonts w:ascii="Calibri" w:hAnsi="Calibri" w:cs="Arial"/>
          <w:b/>
          <w:sz w:val="32"/>
          <w:szCs w:val="32"/>
        </w:rPr>
      </w:pPr>
      <w:r>
        <w:rPr>
          <w:rFonts w:ascii="Calibri" w:hAnsi="Calibri" w:cs="Arial"/>
          <w:b/>
          <w:sz w:val="32"/>
          <w:szCs w:val="32"/>
        </w:rPr>
        <w:t>Tim Pallas</w:t>
      </w:r>
      <w:r w:rsidRPr="007442BF">
        <w:rPr>
          <w:rFonts w:ascii="Calibri" w:hAnsi="Calibri" w:cs="Arial"/>
          <w:b/>
          <w:sz w:val="32"/>
          <w:szCs w:val="32"/>
        </w:rPr>
        <w:t xml:space="preserve"> MP</w:t>
      </w:r>
    </w:p>
    <w:p w:rsidR="00B36BA0" w:rsidRPr="007442BF" w:rsidRDefault="00B36BA0" w:rsidP="00B36BA0">
      <w:pPr>
        <w:jc w:val="center"/>
        <w:rPr>
          <w:rFonts w:ascii="Calibri" w:hAnsi="Calibri" w:cs="Arial"/>
          <w:sz w:val="28"/>
          <w:szCs w:val="28"/>
        </w:rPr>
      </w:pPr>
      <w:r w:rsidRPr="007442BF">
        <w:rPr>
          <w:rFonts w:ascii="Calibri" w:hAnsi="Calibri" w:cs="Arial"/>
          <w:sz w:val="28"/>
          <w:szCs w:val="28"/>
        </w:rPr>
        <w:t>Treasurer of the State of Victoria</w:t>
      </w:r>
    </w:p>
    <w:p w:rsidR="00B36BA0" w:rsidRPr="007442BF" w:rsidRDefault="00B36BA0" w:rsidP="00B36BA0">
      <w:pPr>
        <w:rPr>
          <w:rFonts w:ascii="Calibri" w:hAnsi="Calibri"/>
        </w:rPr>
      </w:pPr>
    </w:p>
    <w:p w:rsidR="006C3265" w:rsidRDefault="006C3265">
      <w:pPr>
        <w:spacing w:after="0"/>
        <w:rPr>
          <w:rFonts w:ascii="Calibri" w:hAnsi="Calibri"/>
          <w:b/>
        </w:rPr>
      </w:pPr>
      <w:r>
        <w:rPr>
          <w:rFonts w:ascii="Calibri" w:hAnsi="Calibri"/>
          <w:b/>
        </w:rPr>
        <w:br w:type="page"/>
      </w:r>
    </w:p>
    <w:p w:rsidR="006C3265" w:rsidRDefault="006C3265" w:rsidP="00B36BA0">
      <w:pPr>
        <w:rPr>
          <w:rFonts w:ascii="Calibri" w:hAnsi="Calibri"/>
          <w:b/>
        </w:rPr>
      </w:pPr>
    </w:p>
    <w:p w:rsidR="00B36BA0" w:rsidRPr="007442BF" w:rsidRDefault="006C3265" w:rsidP="006C3265">
      <w:pPr>
        <w:spacing w:before="4800"/>
        <w:rPr>
          <w:rFonts w:ascii="Calibri" w:hAnsi="Calibri"/>
        </w:rPr>
      </w:pPr>
      <w:r w:rsidRPr="006C3265">
        <w:rPr>
          <w:noProof/>
          <w:lang w:eastAsia="en-AU"/>
        </w:rPr>
        <w:drawing>
          <wp:inline distT="0" distB="0" distL="0" distR="0" wp14:anchorId="14BE4E3A" wp14:editId="63CBD54B">
            <wp:extent cx="2529445" cy="52576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8504" cy="5276462"/>
                    </a:xfrm>
                    <a:prstGeom prst="rect">
                      <a:avLst/>
                    </a:prstGeom>
                    <a:noFill/>
                    <a:ln>
                      <a:noFill/>
                    </a:ln>
                  </pic:spPr>
                </pic:pic>
              </a:graphicData>
            </a:graphic>
          </wp:inline>
        </w:drawing>
      </w:r>
    </w:p>
    <w:p w:rsidR="00B36BA0" w:rsidRPr="007442BF" w:rsidRDefault="00B36BA0" w:rsidP="00B36BA0">
      <w:pPr>
        <w:sectPr w:rsidR="00B36BA0" w:rsidRPr="007442BF" w:rsidSect="00334514">
          <w:footerReference w:type="even" r:id="rId10"/>
          <w:footerReference w:type="default" r:id="rId11"/>
          <w:headerReference w:type="first" r:id="rId12"/>
          <w:type w:val="oddPage"/>
          <w:pgSz w:w="11906" w:h="16838" w:code="9"/>
          <w:pgMar w:top="1440" w:right="1296" w:bottom="1440" w:left="1296" w:header="720" w:footer="720" w:gutter="0"/>
          <w:cols w:space="708"/>
          <w:docGrid w:linePitch="360"/>
        </w:sectPr>
      </w:pPr>
    </w:p>
    <w:p w:rsidR="00B36BA0" w:rsidRPr="007442BF" w:rsidRDefault="00B36BA0" w:rsidP="00B36BA0">
      <w:pPr>
        <w:pStyle w:val="TableofContentsheading"/>
      </w:pPr>
      <w:r w:rsidRPr="007442BF">
        <w:lastRenderedPageBreak/>
        <w:t>Table of Contents</w:t>
      </w:r>
    </w:p>
    <w:p w:rsidR="006644EB" w:rsidRDefault="007D0381">
      <w:pPr>
        <w:pStyle w:val="TOC1"/>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\h \z \t "Heading 1,1,Heading 2,2,Table of Contents continued,2" </w:instrText>
      </w:r>
      <w:r>
        <w:rPr>
          <w:b w:val="0"/>
        </w:rPr>
        <w:fldChar w:fldCharType="separate"/>
      </w:r>
      <w:hyperlink w:anchor="_Toc435107510" w:history="1">
        <w:r w:rsidR="006644EB" w:rsidRPr="00457E6E">
          <w:rPr>
            <w:rStyle w:val="Hyperlink"/>
            <w:noProof/>
          </w:rPr>
          <w:t>Overview</w:t>
        </w:r>
        <w:r w:rsidR="006644EB">
          <w:rPr>
            <w:noProof/>
            <w:webHidden/>
          </w:rPr>
          <w:tab/>
        </w:r>
        <w:r w:rsidR="006644EB">
          <w:rPr>
            <w:noProof/>
            <w:webHidden/>
          </w:rPr>
          <w:fldChar w:fldCharType="begin"/>
        </w:r>
        <w:r w:rsidR="006644EB">
          <w:rPr>
            <w:noProof/>
            <w:webHidden/>
          </w:rPr>
          <w:instrText xml:space="preserve"> PAGEREF _Toc435107510 \h </w:instrText>
        </w:r>
        <w:r w:rsidR="006644EB">
          <w:rPr>
            <w:noProof/>
            <w:webHidden/>
          </w:rPr>
        </w:r>
        <w:r w:rsidR="006644EB">
          <w:rPr>
            <w:noProof/>
            <w:webHidden/>
          </w:rPr>
          <w:fldChar w:fldCharType="separate"/>
        </w:r>
        <w:r w:rsidR="006644EB">
          <w:rPr>
            <w:noProof/>
            <w:webHidden/>
          </w:rPr>
          <w:t>1</w:t>
        </w:r>
        <w:r w:rsidR="006644EB">
          <w:rPr>
            <w:noProof/>
            <w:webHidden/>
          </w:rPr>
          <w:fldChar w:fldCharType="end"/>
        </w:r>
      </w:hyperlink>
    </w:p>
    <w:p w:rsidR="006644EB" w:rsidRDefault="00706958">
      <w:pPr>
        <w:pStyle w:val="TOC1"/>
        <w:rPr>
          <w:rFonts w:asciiTheme="minorHAnsi" w:eastAsiaTheme="minorEastAsia" w:hAnsiTheme="minorHAnsi" w:cstheme="minorBidi"/>
          <w:b w:val="0"/>
          <w:noProof/>
          <w:sz w:val="22"/>
          <w:szCs w:val="22"/>
          <w:lang w:eastAsia="en-AU"/>
        </w:rPr>
      </w:pPr>
      <w:hyperlink w:anchor="_Toc435107511" w:history="1">
        <w:r w:rsidR="006644EB" w:rsidRPr="00457E6E">
          <w:rPr>
            <w:rStyle w:val="Hyperlink"/>
            <w:noProof/>
          </w:rPr>
          <w:t>General government sector outcome</w:t>
        </w:r>
        <w:r w:rsidR="006644EB">
          <w:rPr>
            <w:noProof/>
            <w:webHidden/>
          </w:rPr>
          <w:tab/>
        </w:r>
        <w:r w:rsidR="006644EB">
          <w:rPr>
            <w:noProof/>
            <w:webHidden/>
          </w:rPr>
          <w:fldChar w:fldCharType="begin"/>
        </w:r>
        <w:r w:rsidR="006644EB">
          <w:rPr>
            <w:noProof/>
            <w:webHidden/>
          </w:rPr>
          <w:instrText xml:space="preserve"> PAGEREF _Toc435107511 \h </w:instrText>
        </w:r>
        <w:r w:rsidR="006644EB">
          <w:rPr>
            <w:noProof/>
            <w:webHidden/>
          </w:rPr>
        </w:r>
        <w:r w:rsidR="006644EB">
          <w:rPr>
            <w:noProof/>
            <w:webHidden/>
          </w:rPr>
          <w:fldChar w:fldCharType="separate"/>
        </w:r>
        <w:r w:rsidR="006644EB">
          <w:rPr>
            <w:noProof/>
            <w:webHidden/>
          </w:rPr>
          <w:t>2</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12" w:history="1">
        <w:r w:rsidR="006644EB" w:rsidRPr="00457E6E">
          <w:rPr>
            <w:rStyle w:val="Hyperlink"/>
            <w:noProof/>
          </w:rPr>
          <w:t>Financial performance</w:t>
        </w:r>
        <w:r w:rsidR="006644EB">
          <w:rPr>
            <w:noProof/>
            <w:webHidden/>
          </w:rPr>
          <w:tab/>
        </w:r>
        <w:r w:rsidR="006644EB">
          <w:rPr>
            <w:noProof/>
            <w:webHidden/>
          </w:rPr>
          <w:fldChar w:fldCharType="begin"/>
        </w:r>
        <w:r w:rsidR="006644EB">
          <w:rPr>
            <w:noProof/>
            <w:webHidden/>
          </w:rPr>
          <w:instrText xml:space="preserve"> PAGEREF _Toc435107512 \h </w:instrText>
        </w:r>
        <w:r w:rsidR="006644EB">
          <w:rPr>
            <w:noProof/>
            <w:webHidden/>
          </w:rPr>
        </w:r>
        <w:r w:rsidR="006644EB">
          <w:rPr>
            <w:noProof/>
            <w:webHidden/>
          </w:rPr>
          <w:fldChar w:fldCharType="separate"/>
        </w:r>
        <w:r w:rsidR="006644EB">
          <w:rPr>
            <w:noProof/>
            <w:webHidden/>
          </w:rPr>
          <w:t>2</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13" w:history="1">
        <w:r w:rsidR="006644EB" w:rsidRPr="00457E6E">
          <w:rPr>
            <w:rStyle w:val="Hyperlink"/>
            <w:noProof/>
          </w:rPr>
          <w:t>Financial position</w:t>
        </w:r>
        <w:r w:rsidR="006644EB">
          <w:rPr>
            <w:noProof/>
            <w:webHidden/>
          </w:rPr>
          <w:tab/>
        </w:r>
        <w:r w:rsidR="006644EB">
          <w:rPr>
            <w:noProof/>
            <w:webHidden/>
          </w:rPr>
          <w:fldChar w:fldCharType="begin"/>
        </w:r>
        <w:r w:rsidR="006644EB">
          <w:rPr>
            <w:noProof/>
            <w:webHidden/>
          </w:rPr>
          <w:instrText xml:space="preserve"> PAGEREF _Toc435107513 \h </w:instrText>
        </w:r>
        <w:r w:rsidR="006644EB">
          <w:rPr>
            <w:noProof/>
            <w:webHidden/>
          </w:rPr>
        </w:r>
        <w:r w:rsidR="006644EB">
          <w:rPr>
            <w:noProof/>
            <w:webHidden/>
          </w:rPr>
          <w:fldChar w:fldCharType="separate"/>
        </w:r>
        <w:r w:rsidR="006644EB">
          <w:rPr>
            <w:noProof/>
            <w:webHidden/>
          </w:rPr>
          <w:t>2</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14" w:history="1">
        <w:r w:rsidR="006644EB" w:rsidRPr="00457E6E">
          <w:rPr>
            <w:rStyle w:val="Hyperlink"/>
            <w:noProof/>
          </w:rPr>
          <w:t>Cash flows</w:t>
        </w:r>
        <w:r w:rsidR="006644EB">
          <w:rPr>
            <w:noProof/>
            <w:webHidden/>
          </w:rPr>
          <w:tab/>
        </w:r>
        <w:r w:rsidR="006644EB">
          <w:rPr>
            <w:noProof/>
            <w:webHidden/>
          </w:rPr>
          <w:fldChar w:fldCharType="begin"/>
        </w:r>
        <w:r w:rsidR="006644EB">
          <w:rPr>
            <w:noProof/>
            <w:webHidden/>
          </w:rPr>
          <w:instrText xml:space="preserve"> PAGEREF _Toc435107514 \h </w:instrText>
        </w:r>
        <w:r w:rsidR="006644EB">
          <w:rPr>
            <w:noProof/>
            <w:webHidden/>
          </w:rPr>
        </w:r>
        <w:r w:rsidR="006644EB">
          <w:rPr>
            <w:noProof/>
            <w:webHidden/>
          </w:rPr>
          <w:fldChar w:fldCharType="separate"/>
        </w:r>
        <w:r w:rsidR="006644EB">
          <w:rPr>
            <w:noProof/>
            <w:webHidden/>
          </w:rPr>
          <w:t>3</w:t>
        </w:r>
        <w:r w:rsidR="006644EB">
          <w:rPr>
            <w:noProof/>
            <w:webHidden/>
          </w:rPr>
          <w:fldChar w:fldCharType="end"/>
        </w:r>
      </w:hyperlink>
    </w:p>
    <w:p w:rsidR="006644EB" w:rsidRDefault="00706958">
      <w:pPr>
        <w:pStyle w:val="TOC1"/>
        <w:rPr>
          <w:rFonts w:asciiTheme="minorHAnsi" w:eastAsiaTheme="minorEastAsia" w:hAnsiTheme="minorHAnsi" w:cstheme="minorBidi"/>
          <w:b w:val="0"/>
          <w:noProof/>
          <w:sz w:val="22"/>
          <w:szCs w:val="22"/>
          <w:lang w:eastAsia="en-AU"/>
        </w:rPr>
      </w:pPr>
      <w:hyperlink w:anchor="_Toc435107515" w:history="1">
        <w:r w:rsidR="006644EB" w:rsidRPr="00457E6E">
          <w:rPr>
            <w:rStyle w:val="Hyperlink"/>
            <w:noProof/>
          </w:rPr>
          <w:t>Financial statements for the general government sector</w:t>
        </w:r>
        <w:r w:rsidR="006644EB">
          <w:rPr>
            <w:noProof/>
            <w:webHidden/>
          </w:rPr>
          <w:tab/>
        </w:r>
        <w:r w:rsidR="006644EB">
          <w:rPr>
            <w:noProof/>
            <w:webHidden/>
          </w:rPr>
          <w:fldChar w:fldCharType="begin"/>
        </w:r>
        <w:r w:rsidR="006644EB">
          <w:rPr>
            <w:noProof/>
            <w:webHidden/>
          </w:rPr>
          <w:instrText xml:space="preserve"> PAGEREF _Toc435107515 \h </w:instrText>
        </w:r>
        <w:r w:rsidR="006644EB">
          <w:rPr>
            <w:noProof/>
            <w:webHidden/>
          </w:rPr>
        </w:r>
        <w:r w:rsidR="006644EB">
          <w:rPr>
            <w:noProof/>
            <w:webHidden/>
          </w:rPr>
          <w:fldChar w:fldCharType="separate"/>
        </w:r>
        <w:r w:rsidR="006644EB">
          <w:rPr>
            <w:noProof/>
            <w:webHidden/>
          </w:rPr>
          <w:t>4</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16" w:history="1">
        <w:r w:rsidR="006644EB" w:rsidRPr="00457E6E">
          <w:rPr>
            <w:rStyle w:val="Hyperlink"/>
            <w:noProof/>
          </w:rPr>
          <w:t>Comprehensive operating statement for the period ending 30 September</w:t>
        </w:r>
        <w:r w:rsidR="006644EB">
          <w:rPr>
            <w:noProof/>
            <w:webHidden/>
          </w:rPr>
          <w:tab/>
        </w:r>
        <w:r w:rsidR="006644EB">
          <w:rPr>
            <w:noProof/>
            <w:webHidden/>
          </w:rPr>
          <w:fldChar w:fldCharType="begin"/>
        </w:r>
        <w:r w:rsidR="006644EB">
          <w:rPr>
            <w:noProof/>
            <w:webHidden/>
          </w:rPr>
          <w:instrText xml:space="preserve"> PAGEREF _Toc435107516 \h </w:instrText>
        </w:r>
        <w:r w:rsidR="006644EB">
          <w:rPr>
            <w:noProof/>
            <w:webHidden/>
          </w:rPr>
        </w:r>
        <w:r w:rsidR="006644EB">
          <w:rPr>
            <w:noProof/>
            <w:webHidden/>
          </w:rPr>
          <w:fldChar w:fldCharType="separate"/>
        </w:r>
        <w:r w:rsidR="006644EB">
          <w:rPr>
            <w:noProof/>
            <w:webHidden/>
          </w:rPr>
          <w:t>4</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17" w:history="1">
        <w:r w:rsidR="006644EB" w:rsidRPr="00457E6E">
          <w:rPr>
            <w:rStyle w:val="Hyperlink"/>
            <w:noProof/>
          </w:rPr>
          <w:t>Consolidated balance sheet as at 30 September</w:t>
        </w:r>
        <w:r w:rsidR="006644EB">
          <w:rPr>
            <w:noProof/>
            <w:webHidden/>
          </w:rPr>
          <w:tab/>
        </w:r>
        <w:r w:rsidR="006644EB">
          <w:rPr>
            <w:noProof/>
            <w:webHidden/>
          </w:rPr>
          <w:fldChar w:fldCharType="begin"/>
        </w:r>
        <w:r w:rsidR="006644EB">
          <w:rPr>
            <w:noProof/>
            <w:webHidden/>
          </w:rPr>
          <w:instrText xml:space="preserve"> PAGEREF _Toc435107517 \h </w:instrText>
        </w:r>
        <w:r w:rsidR="006644EB">
          <w:rPr>
            <w:noProof/>
            <w:webHidden/>
          </w:rPr>
        </w:r>
        <w:r w:rsidR="006644EB">
          <w:rPr>
            <w:noProof/>
            <w:webHidden/>
          </w:rPr>
          <w:fldChar w:fldCharType="separate"/>
        </w:r>
        <w:r w:rsidR="006644EB">
          <w:rPr>
            <w:noProof/>
            <w:webHidden/>
          </w:rPr>
          <w:t>6</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18" w:history="1">
        <w:r w:rsidR="006644EB" w:rsidRPr="00457E6E">
          <w:rPr>
            <w:rStyle w:val="Hyperlink"/>
            <w:noProof/>
          </w:rPr>
          <w:t>Consolidated cash flow statement for the period ended 30 September</w:t>
        </w:r>
        <w:r w:rsidR="006644EB">
          <w:rPr>
            <w:noProof/>
            <w:webHidden/>
          </w:rPr>
          <w:tab/>
        </w:r>
        <w:r w:rsidR="006644EB">
          <w:rPr>
            <w:noProof/>
            <w:webHidden/>
          </w:rPr>
          <w:fldChar w:fldCharType="begin"/>
        </w:r>
        <w:r w:rsidR="006644EB">
          <w:rPr>
            <w:noProof/>
            <w:webHidden/>
          </w:rPr>
          <w:instrText xml:space="preserve"> PAGEREF _Toc435107518 \h </w:instrText>
        </w:r>
        <w:r w:rsidR="006644EB">
          <w:rPr>
            <w:noProof/>
            <w:webHidden/>
          </w:rPr>
        </w:r>
        <w:r w:rsidR="006644EB">
          <w:rPr>
            <w:noProof/>
            <w:webHidden/>
          </w:rPr>
          <w:fldChar w:fldCharType="separate"/>
        </w:r>
        <w:r w:rsidR="006644EB">
          <w:rPr>
            <w:noProof/>
            <w:webHidden/>
          </w:rPr>
          <w:t>7</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19" w:history="1">
        <w:r w:rsidR="006644EB" w:rsidRPr="00457E6E">
          <w:rPr>
            <w:rStyle w:val="Hyperlink"/>
            <w:noProof/>
            <w:lang w:eastAsia="en-AU"/>
          </w:rPr>
          <w:t>Consolidated statement of changes in equity for the period ending 30 September</w:t>
        </w:r>
        <w:r w:rsidR="006644EB">
          <w:rPr>
            <w:noProof/>
            <w:webHidden/>
          </w:rPr>
          <w:tab/>
        </w:r>
        <w:r w:rsidR="006644EB">
          <w:rPr>
            <w:noProof/>
            <w:webHidden/>
          </w:rPr>
          <w:fldChar w:fldCharType="begin"/>
        </w:r>
        <w:r w:rsidR="006644EB">
          <w:rPr>
            <w:noProof/>
            <w:webHidden/>
          </w:rPr>
          <w:instrText xml:space="preserve"> PAGEREF _Toc435107519 \h </w:instrText>
        </w:r>
        <w:r w:rsidR="006644EB">
          <w:rPr>
            <w:noProof/>
            <w:webHidden/>
          </w:rPr>
        </w:r>
        <w:r w:rsidR="006644EB">
          <w:rPr>
            <w:noProof/>
            <w:webHidden/>
          </w:rPr>
          <w:fldChar w:fldCharType="separate"/>
        </w:r>
        <w:r w:rsidR="006644EB">
          <w:rPr>
            <w:noProof/>
            <w:webHidden/>
          </w:rPr>
          <w:t>8</w:t>
        </w:r>
        <w:r w:rsidR="006644EB">
          <w:rPr>
            <w:noProof/>
            <w:webHidden/>
          </w:rPr>
          <w:fldChar w:fldCharType="end"/>
        </w:r>
      </w:hyperlink>
    </w:p>
    <w:p w:rsidR="006644EB" w:rsidRDefault="00706958">
      <w:pPr>
        <w:pStyle w:val="TOC1"/>
        <w:rPr>
          <w:rFonts w:asciiTheme="minorHAnsi" w:eastAsiaTheme="minorEastAsia" w:hAnsiTheme="minorHAnsi" w:cstheme="minorBidi"/>
          <w:b w:val="0"/>
          <w:noProof/>
          <w:sz w:val="22"/>
          <w:szCs w:val="22"/>
          <w:lang w:eastAsia="en-AU"/>
        </w:rPr>
      </w:pPr>
      <w:hyperlink w:anchor="_Toc435107520" w:history="1">
        <w:r w:rsidR="006644EB" w:rsidRPr="00457E6E">
          <w:rPr>
            <w:rStyle w:val="Hyperlink"/>
            <w:noProof/>
          </w:rPr>
          <w:t>Results quarter by quarter – Victorian general government sector</w:t>
        </w:r>
        <w:r w:rsidR="006644EB">
          <w:rPr>
            <w:noProof/>
            <w:webHidden/>
          </w:rPr>
          <w:tab/>
        </w:r>
        <w:r w:rsidR="006644EB">
          <w:rPr>
            <w:noProof/>
            <w:webHidden/>
          </w:rPr>
          <w:fldChar w:fldCharType="begin"/>
        </w:r>
        <w:r w:rsidR="006644EB">
          <w:rPr>
            <w:noProof/>
            <w:webHidden/>
          </w:rPr>
          <w:instrText xml:space="preserve"> PAGEREF _Toc435107520 \h </w:instrText>
        </w:r>
        <w:r w:rsidR="006644EB">
          <w:rPr>
            <w:noProof/>
            <w:webHidden/>
          </w:rPr>
        </w:r>
        <w:r w:rsidR="006644EB">
          <w:rPr>
            <w:noProof/>
            <w:webHidden/>
          </w:rPr>
          <w:fldChar w:fldCharType="separate"/>
        </w:r>
        <w:r w:rsidR="006644EB">
          <w:rPr>
            <w:noProof/>
            <w:webHidden/>
          </w:rPr>
          <w:t>29</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21" w:history="1">
        <w:r w:rsidR="006644EB" w:rsidRPr="00457E6E">
          <w:rPr>
            <w:rStyle w:val="Hyperlink"/>
            <w:noProof/>
          </w:rPr>
          <w:t>Consolidated comprehensive operating statement for the past five quarters</w:t>
        </w:r>
        <w:r w:rsidR="006644EB">
          <w:rPr>
            <w:noProof/>
            <w:webHidden/>
          </w:rPr>
          <w:tab/>
        </w:r>
        <w:r w:rsidR="006644EB">
          <w:rPr>
            <w:noProof/>
            <w:webHidden/>
          </w:rPr>
          <w:fldChar w:fldCharType="begin"/>
        </w:r>
        <w:r w:rsidR="006644EB">
          <w:rPr>
            <w:noProof/>
            <w:webHidden/>
          </w:rPr>
          <w:instrText xml:space="preserve"> PAGEREF _Toc435107521 \h </w:instrText>
        </w:r>
        <w:r w:rsidR="006644EB">
          <w:rPr>
            <w:noProof/>
            <w:webHidden/>
          </w:rPr>
        </w:r>
        <w:r w:rsidR="006644EB">
          <w:rPr>
            <w:noProof/>
            <w:webHidden/>
          </w:rPr>
          <w:fldChar w:fldCharType="separate"/>
        </w:r>
        <w:r w:rsidR="006644EB">
          <w:rPr>
            <w:noProof/>
            <w:webHidden/>
          </w:rPr>
          <w:t>29</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22" w:history="1">
        <w:r w:rsidR="006644EB" w:rsidRPr="00457E6E">
          <w:rPr>
            <w:rStyle w:val="Hyperlink"/>
            <w:noProof/>
          </w:rPr>
          <w:t>Consolidated balance sheet as at the end of the past five quarters</w:t>
        </w:r>
        <w:r w:rsidR="006644EB">
          <w:rPr>
            <w:noProof/>
            <w:webHidden/>
          </w:rPr>
          <w:tab/>
        </w:r>
        <w:r w:rsidR="006644EB">
          <w:rPr>
            <w:noProof/>
            <w:webHidden/>
          </w:rPr>
          <w:fldChar w:fldCharType="begin"/>
        </w:r>
        <w:r w:rsidR="006644EB">
          <w:rPr>
            <w:noProof/>
            <w:webHidden/>
          </w:rPr>
          <w:instrText xml:space="preserve"> PAGEREF _Toc435107522 \h </w:instrText>
        </w:r>
        <w:r w:rsidR="006644EB">
          <w:rPr>
            <w:noProof/>
            <w:webHidden/>
          </w:rPr>
        </w:r>
        <w:r w:rsidR="006644EB">
          <w:rPr>
            <w:noProof/>
            <w:webHidden/>
          </w:rPr>
          <w:fldChar w:fldCharType="separate"/>
        </w:r>
        <w:r w:rsidR="006644EB">
          <w:rPr>
            <w:noProof/>
            <w:webHidden/>
          </w:rPr>
          <w:t>30</w:t>
        </w:r>
        <w:r w:rsidR="006644EB">
          <w:rPr>
            <w:noProof/>
            <w:webHidden/>
          </w:rPr>
          <w:fldChar w:fldCharType="end"/>
        </w:r>
      </w:hyperlink>
    </w:p>
    <w:p w:rsidR="006644EB" w:rsidRDefault="00706958">
      <w:pPr>
        <w:pStyle w:val="TOC2"/>
        <w:rPr>
          <w:rFonts w:asciiTheme="minorHAnsi" w:eastAsiaTheme="minorEastAsia" w:hAnsiTheme="minorHAnsi" w:cstheme="minorBidi"/>
          <w:noProof/>
          <w:szCs w:val="22"/>
          <w:lang w:eastAsia="en-AU"/>
        </w:rPr>
      </w:pPr>
      <w:hyperlink w:anchor="_Toc435107523" w:history="1">
        <w:r w:rsidR="006644EB" w:rsidRPr="00457E6E">
          <w:rPr>
            <w:rStyle w:val="Hyperlink"/>
            <w:noProof/>
          </w:rPr>
          <w:t>Consolidated cash flow statement for the past five quarters</w:t>
        </w:r>
        <w:r w:rsidR="006644EB">
          <w:rPr>
            <w:noProof/>
            <w:webHidden/>
          </w:rPr>
          <w:tab/>
        </w:r>
        <w:r w:rsidR="006644EB">
          <w:rPr>
            <w:noProof/>
            <w:webHidden/>
          </w:rPr>
          <w:fldChar w:fldCharType="begin"/>
        </w:r>
        <w:r w:rsidR="006644EB">
          <w:rPr>
            <w:noProof/>
            <w:webHidden/>
          </w:rPr>
          <w:instrText xml:space="preserve"> PAGEREF _Toc435107523 \h </w:instrText>
        </w:r>
        <w:r w:rsidR="006644EB">
          <w:rPr>
            <w:noProof/>
            <w:webHidden/>
          </w:rPr>
        </w:r>
        <w:r w:rsidR="006644EB">
          <w:rPr>
            <w:noProof/>
            <w:webHidden/>
          </w:rPr>
          <w:fldChar w:fldCharType="separate"/>
        </w:r>
        <w:r w:rsidR="006644EB">
          <w:rPr>
            <w:noProof/>
            <w:webHidden/>
          </w:rPr>
          <w:t>31</w:t>
        </w:r>
        <w:r w:rsidR="006644EB">
          <w:rPr>
            <w:noProof/>
            <w:webHidden/>
          </w:rPr>
          <w:fldChar w:fldCharType="end"/>
        </w:r>
      </w:hyperlink>
    </w:p>
    <w:p w:rsidR="006644EB" w:rsidRDefault="00706958">
      <w:pPr>
        <w:pStyle w:val="TOC1"/>
        <w:rPr>
          <w:rFonts w:asciiTheme="minorHAnsi" w:eastAsiaTheme="minorEastAsia" w:hAnsiTheme="minorHAnsi" w:cstheme="minorBidi"/>
          <w:b w:val="0"/>
          <w:noProof/>
          <w:sz w:val="22"/>
          <w:szCs w:val="22"/>
          <w:lang w:eastAsia="en-AU"/>
        </w:rPr>
      </w:pPr>
      <w:hyperlink w:anchor="_Toc435107524" w:history="1">
        <w:r w:rsidR="006644EB" w:rsidRPr="00457E6E">
          <w:rPr>
            <w:rStyle w:val="Hyperlink"/>
            <w:noProof/>
          </w:rPr>
          <w:t>Style conventions</w:t>
        </w:r>
        <w:r w:rsidR="006644EB">
          <w:rPr>
            <w:noProof/>
            <w:webHidden/>
          </w:rPr>
          <w:tab/>
        </w:r>
        <w:r w:rsidR="006644EB">
          <w:rPr>
            <w:noProof/>
            <w:webHidden/>
          </w:rPr>
          <w:fldChar w:fldCharType="begin"/>
        </w:r>
        <w:r w:rsidR="006644EB">
          <w:rPr>
            <w:noProof/>
            <w:webHidden/>
          </w:rPr>
          <w:instrText xml:space="preserve"> PAGEREF _Toc435107524 \h </w:instrText>
        </w:r>
        <w:r w:rsidR="006644EB">
          <w:rPr>
            <w:noProof/>
            <w:webHidden/>
          </w:rPr>
        </w:r>
        <w:r w:rsidR="006644EB">
          <w:rPr>
            <w:noProof/>
            <w:webHidden/>
          </w:rPr>
          <w:fldChar w:fldCharType="separate"/>
        </w:r>
        <w:r w:rsidR="006644EB">
          <w:rPr>
            <w:noProof/>
            <w:webHidden/>
          </w:rPr>
          <w:t>32</w:t>
        </w:r>
        <w:r w:rsidR="006644EB">
          <w:rPr>
            <w:noProof/>
            <w:webHidden/>
          </w:rPr>
          <w:fldChar w:fldCharType="end"/>
        </w:r>
      </w:hyperlink>
    </w:p>
    <w:p w:rsidR="00B36BA0" w:rsidRPr="007442BF" w:rsidRDefault="007D0381" w:rsidP="00B36BA0">
      <w:r>
        <w:rPr>
          <w:rFonts w:ascii="Calibri" w:hAnsi="Calibri"/>
          <w:b/>
        </w:rPr>
        <w:fldChar w:fldCharType="end"/>
      </w:r>
    </w:p>
    <w:p w:rsidR="00B36BA0" w:rsidRPr="007442BF" w:rsidRDefault="00B36BA0" w:rsidP="00B36BA0">
      <w:r w:rsidRPr="007442BF">
        <w:br w:type="page"/>
      </w:r>
    </w:p>
    <w:p w:rsidR="00B36BA0" w:rsidRPr="007442BF" w:rsidRDefault="00B36BA0" w:rsidP="00B36BA0"/>
    <w:p w:rsidR="00B36BA0" w:rsidRPr="007442BF" w:rsidRDefault="00B36BA0" w:rsidP="00B36BA0">
      <w:pPr>
        <w:sectPr w:rsidR="00B36BA0" w:rsidRPr="007442BF" w:rsidSect="00334514">
          <w:footerReference w:type="even" r:id="rId13"/>
          <w:footerReference w:type="default" r:id="rId14"/>
          <w:type w:val="oddPage"/>
          <w:pgSz w:w="11906" w:h="16838" w:code="9"/>
          <w:pgMar w:top="1152" w:right="1152" w:bottom="1152" w:left="1152" w:header="720" w:footer="720" w:gutter="0"/>
          <w:pgNumType w:fmt="lowerRoman" w:start="1"/>
          <w:cols w:space="708"/>
          <w:docGrid w:linePitch="360"/>
        </w:sectPr>
      </w:pPr>
    </w:p>
    <w:p w:rsidR="00283E0D" w:rsidRDefault="00283E0D" w:rsidP="00283E0D">
      <w:pPr>
        <w:pStyle w:val="Heading1"/>
      </w:pPr>
      <w:bookmarkStart w:id="1" w:name="_Toc435107510"/>
      <w:r>
        <w:lastRenderedPageBreak/>
        <w:t>Overview</w:t>
      </w:r>
      <w:bookmarkEnd w:id="1"/>
    </w:p>
    <w:p w:rsidR="00906C63" w:rsidRDefault="00906C63" w:rsidP="00906C63">
      <w:r>
        <w:t>This financial report presents the Victorian general government sector financial statements for the three month period ending 30 September 2015.</w:t>
      </w:r>
    </w:p>
    <w:p w:rsidR="00906C63" w:rsidRDefault="00906C63" w:rsidP="00906C63">
      <w:r>
        <w:t xml:space="preserve">The Victorian economy is expected to strengthen in 2015-16, following below trend growth in </w:t>
      </w:r>
      <w:r w:rsidR="009A5099">
        <w:t>2014</w:t>
      </w:r>
      <w:r w:rsidR="009A5099">
        <w:noBreakHyphen/>
        <w:t>15</w:t>
      </w:r>
      <w:r>
        <w:t xml:space="preserve">. A buoyant property market, assisted by low interest rates, has boosted residential construction. Employment growth has improved, with more than 54 000 jobs created over the year to September 2015. The unemployment rate has fallen over this period from 6.7 per cent to 6.2 per cent, equal to the Australian average. Yet despite these positive developments, subdued consumer sentiment and an uncertain national and global outlook have constrained household spending. </w:t>
      </w:r>
    </w:p>
    <w:p w:rsidR="00906C63" w:rsidRDefault="00906C63" w:rsidP="00906C63">
      <w:r>
        <w:t xml:space="preserve">The outlook for growth in the global economy has softened. Economic growth is slowing in China and weakness persists in the </w:t>
      </w:r>
      <w:proofErr w:type="spellStart"/>
      <w:r>
        <w:t>eurozone</w:t>
      </w:r>
      <w:proofErr w:type="spellEnd"/>
      <w:r>
        <w:t>. There are positive signs in the United States but uncertainty remains over when the US Federal Reserve will raise interest rates and what the impact will be.</w:t>
      </w:r>
    </w:p>
    <w:p w:rsidR="00283E0D" w:rsidRDefault="00906C63" w:rsidP="00906C63">
      <w:r>
        <w:t>The Government continues to make significant investments, particularly in the transport and health sectors, to deliver high quality services and enhance economic productivity.</w:t>
      </w:r>
    </w:p>
    <w:p w:rsidR="00283E0D" w:rsidRDefault="00283E0D" w:rsidP="00283E0D">
      <w:pPr>
        <w:pStyle w:val="Heading1"/>
        <w:spacing w:before="240"/>
      </w:pPr>
      <w:r>
        <w:br w:type="page"/>
      </w:r>
      <w:bookmarkStart w:id="2" w:name="_Toc435107511"/>
      <w:r>
        <w:lastRenderedPageBreak/>
        <w:t xml:space="preserve">General </w:t>
      </w:r>
      <w:r w:rsidRPr="00173D1D">
        <w:t>government</w:t>
      </w:r>
      <w:r>
        <w:t xml:space="preserve"> sector outcome</w:t>
      </w:r>
      <w:bookmarkEnd w:id="2"/>
    </w:p>
    <w:p w:rsidR="00283E0D" w:rsidRDefault="00283E0D" w:rsidP="00283E0D">
      <w:pPr>
        <w:pStyle w:val="Heading2"/>
        <w:spacing w:before="120"/>
      </w:pPr>
      <w:bookmarkStart w:id="3" w:name="_Toc435107512"/>
      <w:r w:rsidRPr="00173D1D">
        <w:t>Financial</w:t>
      </w:r>
      <w:r>
        <w:t xml:space="preserve"> performance</w:t>
      </w:r>
      <w:bookmarkEnd w:id="3"/>
    </w:p>
    <w:p w:rsidR="00B9470E" w:rsidRPr="00DB1072" w:rsidRDefault="00B9470E" w:rsidP="00B9470E">
      <w:r w:rsidRPr="00135C7F">
        <w:t>The general government sector net result from transactions for the three m</w:t>
      </w:r>
      <w:r w:rsidR="00135C7F" w:rsidRPr="00135C7F">
        <w:t>onth period to 30 September 2015</w:t>
      </w:r>
      <w:r w:rsidRPr="00135C7F">
        <w:t xml:space="preserve"> </w:t>
      </w:r>
      <w:r w:rsidR="00135C7F" w:rsidRPr="00135C7F">
        <w:t>was an operating surplus of $519</w:t>
      </w:r>
      <w:r w:rsidRPr="00135C7F">
        <w:t> million</w:t>
      </w:r>
      <w:r w:rsidR="00135C7F" w:rsidRPr="00135C7F">
        <w:t>.</w:t>
      </w:r>
      <w:r w:rsidR="004607DB">
        <w:t xml:space="preserve"> This </w:t>
      </w:r>
      <w:r w:rsidR="00506A7D">
        <w:t>compares with the</w:t>
      </w:r>
      <w:r w:rsidR="00E3563B">
        <w:t xml:space="preserve"> $417</w:t>
      </w:r>
      <w:r w:rsidR="00FC6519">
        <w:t> </w:t>
      </w:r>
      <w:r w:rsidR="00760BAB">
        <w:t xml:space="preserve">million </w:t>
      </w:r>
      <w:r w:rsidR="00045207">
        <w:t xml:space="preserve">operating </w:t>
      </w:r>
      <w:r w:rsidR="00760BAB">
        <w:t>surplus recorded</w:t>
      </w:r>
      <w:r w:rsidR="00045207">
        <w:t xml:space="preserve"> </w:t>
      </w:r>
      <w:r w:rsidR="00760BAB">
        <w:t>in the first quarter of 2014</w:t>
      </w:r>
      <w:r w:rsidR="00FC6519">
        <w:noBreakHyphen/>
      </w:r>
      <w:r w:rsidR="00760BAB">
        <w:t>15</w:t>
      </w:r>
      <w:r w:rsidR="00506A7D">
        <w:t xml:space="preserve"> and</w:t>
      </w:r>
      <w:r w:rsidRPr="00135C7F">
        <w:t xml:space="preserve"> is consistent with achieving a full year est</w:t>
      </w:r>
      <w:r w:rsidR="00135C7F" w:rsidRPr="00135C7F">
        <w:t>imated operating surplus of $1.2</w:t>
      </w:r>
      <w:r w:rsidRPr="00135C7F">
        <w:t> billion</w:t>
      </w:r>
      <w:r w:rsidR="00506A7D">
        <w:t xml:space="preserve"> for</w:t>
      </w:r>
      <w:r w:rsidR="00135C7F" w:rsidRPr="00135C7F">
        <w:t xml:space="preserve"> 2015</w:t>
      </w:r>
      <w:r w:rsidRPr="00135C7F">
        <w:noBreakHyphen/>
      </w:r>
      <w:r w:rsidR="00135C7F" w:rsidRPr="00135C7F">
        <w:t>16</w:t>
      </w:r>
      <w:r w:rsidRPr="00135C7F">
        <w:t xml:space="preserve">, as forecast in the </w:t>
      </w:r>
      <w:r w:rsidR="00135C7F" w:rsidRPr="00135C7F">
        <w:rPr>
          <w:i/>
        </w:rPr>
        <w:t>2015</w:t>
      </w:r>
      <w:r w:rsidRPr="00135C7F">
        <w:rPr>
          <w:i/>
        </w:rPr>
        <w:noBreakHyphen/>
      </w:r>
      <w:r w:rsidR="00135C7F" w:rsidRPr="00135C7F">
        <w:rPr>
          <w:i/>
        </w:rPr>
        <w:t>16 Budget</w:t>
      </w:r>
      <w:r w:rsidRPr="00135C7F">
        <w:rPr>
          <w:i/>
        </w:rPr>
        <w:t>.</w:t>
      </w:r>
    </w:p>
    <w:p w:rsidR="00B9470E" w:rsidRPr="00135C7F" w:rsidRDefault="00506A7D" w:rsidP="00B9470E">
      <w:r>
        <w:t>Similar to previous years, t</w:t>
      </w:r>
      <w:r w:rsidR="00B9470E" w:rsidRPr="00135C7F">
        <w:t>he first quarter result is influenced by seasonal factors such as the timing of certain revenue items, in particular:</w:t>
      </w:r>
    </w:p>
    <w:p w:rsidR="00B9470E" w:rsidRPr="00FC6048" w:rsidRDefault="00B9470E" w:rsidP="00FC6048">
      <w:pPr>
        <w:pStyle w:val="BulletText"/>
      </w:pPr>
      <w:r w:rsidRPr="00FC6048">
        <w:t>the majority of land tax revenue, which is not recognised until the March quarter;</w:t>
      </w:r>
    </w:p>
    <w:p w:rsidR="00B9470E" w:rsidRPr="00FC6048" w:rsidRDefault="00B9470E" w:rsidP="00FC6048">
      <w:pPr>
        <w:pStyle w:val="BulletText"/>
      </w:pPr>
      <w:r w:rsidRPr="00FC6048">
        <w:t>dividends from public authorities, which are not recognised as revenue until determined generally in October and April of each year; and</w:t>
      </w:r>
    </w:p>
    <w:p w:rsidR="00B9470E" w:rsidRPr="00FC6048" w:rsidRDefault="00B9470E" w:rsidP="00FC6048">
      <w:pPr>
        <w:pStyle w:val="BulletText"/>
      </w:pPr>
      <w:r w:rsidRPr="00FC6048">
        <w:t>some Commonwealth capital grants, which are not received until later in the year.</w:t>
      </w:r>
    </w:p>
    <w:p w:rsidR="00B9470E" w:rsidRPr="00FC6048" w:rsidRDefault="00B9470E" w:rsidP="00FC6048">
      <w:r w:rsidRPr="00FC6048">
        <w:t>The timing of these revenue items is partially offset by the revenue from the Fire Services Property Levy, which is fully recognised in the September quarter.</w:t>
      </w:r>
    </w:p>
    <w:p w:rsidR="00B9470E" w:rsidRPr="00135C7F" w:rsidRDefault="00B9470E" w:rsidP="00B9470E">
      <w:r w:rsidRPr="00135C7F">
        <w:t>Reve</w:t>
      </w:r>
      <w:r w:rsidR="00135C7F" w:rsidRPr="00135C7F">
        <w:t>nu</w:t>
      </w:r>
      <w:r w:rsidR="00E3563B">
        <w:t>e for the quarter totalled $13.6</w:t>
      </w:r>
      <w:r w:rsidRPr="00135C7F">
        <w:t xml:space="preserve"> billion. </w:t>
      </w:r>
      <w:r w:rsidR="00F62D31">
        <w:t>This represented 24</w:t>
      </w:r>
      <w:r w:rsidR="005B4080">
        <w:t>.4</w:t>
      </w:r>
      <w:r w:rsidRPr="00135C7F">
        <w:t> per cent</w:t>
      </w:r>
      <w:r w:rsidR="00A35685">
        <w:t xml:space="preserve"> of the </w:t>
      </w:r>
      <w:r w:rsidR="00737887">
        <w:t>full year budget</w:t>
      </w:r>
      <w:r w:rsidR="00A35685">
        <w:t xml:space="preserve"> estimate</w:t>
      </w:r>
      <w:r w:rsidR="00786BDA">
        <w:t xml:space="preserve">, </w:t>
      </w:r>
      <w:r w:rsidRPr="00135C7F">
        <w:t>in line with</w:t>
      </w:r>
      <w:r w:rsidR="00786BDA">
        <w:t xml:space="preserve"> </w:t>
      </w:r>
      <w:r w:rsidRPr="00135C7F">
        <w:t xml:space="preserve">expectations. </w:t>
      </w:r>
    </w:p>
    <w:p w:rsidR="00B9470E" w:rsidRPr="00737887" w:rsidRDefault="00B9470E" w:rsidP="00B9470E">
      <w:r w:rsidRPr="00737887">
        <w:t>Taxation revenue</w:t>
      </w:r>
      <w:r w:rsidR="005B4080">
        <w:t xml:space="preserve"> for the quarter represents 26.6</w:t>
      </w:r>
      <w:r w:rsidRPr="00737887">
        <w:t> per cent</w:t>
      </w:r>
      <w:r w:rsidR="006A7710" w:rsidRPr="00737887">
        <w:t xml:space="preserve"> of the </w:t>
      </w:r>
      <w:r w:rsidRPr="00737887">
        <w:t>budget</w:t>
      </w:r>
      <w:r w:rsidRPr="00737887">
        <w:rPr>
          <w:i/>
        </w:rPr>
        <w:t xml:space="preserve"> </w:t>
      </w:r>
      <w:r w:rsidRPr="00737887">
        <w:t>estimate. Land transfer duty, insurance taxes and</w:t>
      </w:r>
      <w:r w:rsidR="005051C0">
        <w:t xml:space="preserve"> </w:t>
      </w:r>
      <w:r w:rsidR="005051C0" w:rsidRPr="00135C7F">
        <w:t>Fire Services Property Levy</w:t>
      </w:r>
      <w:r w:rsidRPr="00737887">
        <w:t xml:space="preserve"> were above pro rata, while other taxes and levies on statutory corporations were slightly below pro rata ex</w:t>
      </w:r>
      <w:r w:rsidR="005B4080">
        <w:t>pectations</w:t>
      </w:r>
      <w:r w:rsidR="00506A7D">
        <w:t>, but broadly consistent with the comparative prior year outcomes</w:t>
      </w:r>
      <w:r w:rsidR="005B4080">
        <w:t>.</w:t>
      </w:r>
    </w:p>
    <w:p w:rsidR="00B9470E" w:rsidRDefault="00B9470E" w:rsidP="00B9470E">
      <w:r w:rsidRPr="00737887">
        <w:t>Grants revenue for the first quarter w</w:t>
      </w:r>
      <w:r w:rsidR="00737887" w:rsidRPr="00737887">
        <w:t xml:space="preserve">as 23.5 per cent of the </w:t>
      </w:r>
      <w:r w:rsidRPr="00737887">
        <w:t>budget estimate. This reflects the timing of this revenue from the Commonwealth Government an</w:t>
      </w:r>
      <w:r w:rsidR="00095770">
        <w:t>d is consistent with the</w:t>
      </w:r>
      <w:r w:rsidR="00506A7D">
        <w:t xml:space="preserve"> full year</w:t>
      </w:r>
      <w:r w:rsidRPr="00737887">
        <w:t xml:space="preserve"> budget estimate.</w:t>
      </w:r>
    </w:p>
    <w:p w:rsidR="005B4080" w:rsidRPr="00737887" w:rsidRDefault="005B4080" w:rsidP="00B9470E">
      <w:r w:rsidRPr="00737887">
        <w:t xml:space="preserve">Dividends and income tax equivalent and rate equivalent </w:t>
      </w:r>
      <w:r w:rsidR="00506A7D">
        <w:t>revenue for the first quarter was</w:t>
      </w:r>
      <w:r w:rsidRPr="00737887">
        <w:t xml:space="preserve"> 5</w:t>
      </w:r>
      <w:r>
        <w:t>.1</w:t>
      </w:r>
      <w:r w:rsidRPr="00737887">
        <w:t> per cent of the full year budget estimate. This is consistent with expectations and the usual pattern of receipt.</w:t>
      </w:r>
    </w:p>
    <w:p w:rsidR="00283E0D" w:rsidRPr="005B4080" w:rsidRDefault="005B4080" w:rsidP="005B4080">
      <w:pPr>
        <w:shd w:val="clear" w:color="auto" w:fill="FFFFFF" w:themeFill="background1"/>
      </w:pPr>
      <w:r>
        <w:t xml:space="preserve">Sales of goods and services and </w:t>
      </w:r>
      <w:r w:rsidR="00842C0D">
        <w:t>i</w:t>
      </w:r>
      <w:r w:rsidRPr="005B4080">
        <w:t>nterest revenue</w:t>
      </w:r>
      <w:r w:rsidR="00184F75">
        <w:t>s</w:t>
      </w:r>
      <w:r w:rsidRPr="005B4080">
        <w:t xml:space="preserve"> w</w:t>
      </w:r>
      <w:r>
        <w:t xml:space="preserve">ere </w:t>
      </w:r>
      <w:r w:rsidR="00B05683">
        <w:t>each</w:t>
      </w:r>
      <w:r w:rsidRPr="005B4080">
        <w:t xml:space="preserve"> 24.5</w:t>
      </w:r>
      <w:r w:rsidR="00B9470E" w:rsidRPr="005B4080">
        <w:t> per cent</w:t>
      </w:r>
      <w:r>
        <w:t xml:space="preserve"> of the budget estimate</w:t>
      </w:r>
      <w:r w:rsidR="00045207">
        <w:t xml:space="preserve"> and </w:t>
      </w:r>
      <w:r w:rsidR="00B9470E" w:rsidRPr="005B4080">
        <w:t>in line with expectations.</w:t>
      </w:r>
      <w:r w:rsidRPr="005B4080">
        <w:t xml:space="preserve"> </w:t>
      </w:r>
      <w:r w:rsidR="00B9470E" w:rsidRPr="005B4080">
        <w:t>Other revenue was</w:t>
      </w:r>
      <w:r w:rsidRPr="005B4080">
        <w:t xml:space="preserve"> slightly above pro rata at 26.0</w:t>
      </w:r>
      <w:r w:rsidR="00B9470E" w:rsidRPr="005B4080">
        <w:t> per</w:t>
      </w:r>
      <w:r w:rsidRPr="005B4080">
        <w:t> cent of the budget estimate</w:t>
      </w:r>
      <w:r w:rsidR="000E1652">
        <w:t>, but consistent with the full year budget expectations</w:t>
      </w:r>
      <w:r w:rsidR="00B9470E" w:rsidRPr="005B4080">
        <w:t>.</w:t>
      </w:r>
    </w:p>
    <w:p w:rsidR="00B9470E" w:rsidRPr="00B25967" w:rsidRDefault="00B25967" w:rsidP="00B9470E">
      <w:r w:rsidRPr="00B25967">
        <w:t>At 24.0</w:t>
      </w:r>
      <w:r w:rsidR="00B9470E" w:rsidRPr="00B25967">
        <w:t> per cent of the full year budget estimate, expense</w:t>
      </w:r>
      <w:r w:rsidRPr="00B25967">
        <w:t>s from transactions totalled $13.0</w:t>
      </w:r>
      <w:r w:rsidR="00B9470E" w:rsidRPr="00B25967">
        <w:t> billion for the t</w:t>
      </w:r>
      <w:r w:rsidR="00095770">
        <w:t>hree months to 30 September 2015</w:t>
      </w:r>
      <w:r w:rsidR="00B9470E" w:rsidRPr="00B25967">
        <w:t>. This result primarily reflects the timing of expenditure</w:t>
      </w:r>
      <w:r w:rsidR="000E1652">
        <w:t>, consistent with full year budget expectations and previous year expenditure patterns</w:t>
      </w:r>
      <w:r w:rsidR="00B9470E" w:rsidRPr="00B25967">
        <w:t xml:space="preserve">. </w:t>
      </w:r>
    </w:p>
    <w:p w:rsidR="00B9470E" w:rsidRDefault="00B9470E" w:rsidP="00A96A75">
      <w:r w:rsidRPr="008F2F39">
        <w:t>The comprehe</w:t>
      </w:r>
      <w:r w:rsidR="00A96A75" w:rsidRPr="008F2F39">
        <w:t xml:space="preserve">nsive result showed a decrease in net worth </w:t>
      </w:r>
      <w:r w:rsidR="00A96A75" w:rsidRPr="004607DB">
        <w:t xml:space="preserve">of </w:t>
      </w:r>
      <w:r w:rsidR="004607DB" w:rsidRPr="004607DB">
        <w:t>$1.6</w:t>
      </w:r>
      <w:r w:rsidR="00A96A75" w:rsidRPr="004607DB">
        <w:t> b</w:t>
      </w:r>
      <w:r w:rsidRPr="004607DB">
        <w:t>illion</w:t>
      </w:r>
      <w:r w:rsidRPr="008F2F39">
        <w:t xml:space="preserve"> for the three m</w:t>
      </w:r>
      <w:r w:rsidR="00A96A75" w:rsidRPr="008F2F39">
        <w:t>onth period to 30 September 2015</w:t>
      </w:r>
      <w:r w:rsidRPr="008F2F39">
        <w:t>,</w:t>
      </w:r>
      <w:r w:rsidR="00A96A75" w:rsidRPr="008F2F39">
        <w:t xml:space="preserve"> compared to an increase of $506 m</w:t>
      </w:r>
      <w:r w:rsidRPr="008F2F39">
        <w:t>illion in the same period the p</w:t>
      </w:r>
      <w:r w:rsidR="00A96A75" w:rsidRPr="008F2F39">
        <w:t>revious year. For 2015</w:t>
      </w:r>
      <w:r w:rsidR="00A96A75" w:rsidRPr="008F2F39">
        <w:noBreakHyphen/>
        <w:t>16, the de</w:t>
      </w:r>
      <w:r w:rsidRPr="008F2F39">
        <w:t xml:space="preserve">crease in net worth </w:t>
      </w:r>
      <w:r w:rsidR="008F2F39" w:rsidRPr="008F2F39">
        <w:t xml:space="preserve">mainly </w:t>
      </w:r>
      <w:r w:rsidR="000E1652">
        <w:t>reflects the recording of</w:t>
      </w:r>
      <w:r w:rsidR="008F2F39" w:rsidRPr="008F2F39">
        <w:t xml:space="preserve"> an actuarial loss </w:t>
      </w:r>
      <w:r w:rsidR="000E1652">
        <w:t>related to the State’s</w:t>
      </w:r>
      <w:r w:rsidR="008F2F39" w:rsidRPr="008F2F39">
        <w:t xml:space="preserve"> defined benefit</w:t>
      </w:r>
      <w:r w:rsidR="00E20A2E">
        <w:t xml:space="preserve"> plan</w:t>
      </w:r>
      <w:r w:rsidR="008F2F39" w:rsidRPr="008F2F39">
        <w:t xml:space="preserve"> superannuation</w:t>
      </w:r>
      <w:r w:rsidR="00E20A2E">
        <w:t xml:space="preserve"> liabilities</w:t>
      </w:r>
      <w:r w:rsidR="008F2F39" w:rsidRPr="008F2F39">
        <w:t xml:space="preserve"> in the quarter</w:t>
      </w:r>
      <w:r w:rsidR="00E20A2E">
        <w:t>,</w:t>
      </w:r>
      <w:r w:rsidR="008F2F39" w:rsidRPr="008F2F39">
        <w:t xml:space="preserve"> </w:t>
      </w:r>
      <w:r w:rsidR="00FC6519">
        <w:t>primarily reflect</w:t>
      </w:r>
      <w:r w:rsidR="00E20A2E">
        <w:t>ing the effect of financial market movements in</w:t>
      </w:r>
      <w:r w:rsidR="00FC6519">
        <w:t xml:space="preserve"> </w:t>
      </w:r>
      <w:r w:rsidR="008F2F39">
        <w:t xml:space="preserve">bond rates </w:t>
      </w:r>
      <w:r w:rsidR="00E20A2E">
        <w:t xml:space="preserve">on the valuation of </w:t>
      </w:r>
      <w:r w:rsidR="008F2F39">
        <w:t xml:space="preserve">the superannuation liability. </w:t>
      </w:r>
    </w:p>
    <w:p w:rsidR="00283E0D" w:rsidRDefault="00283E0D" w:rsidP="00283E0D">
      <w:pPr>
        <w:pStyle w:val="Heading2"/>
        <w:spacing w:before="200"/>
      </w:pPr>
      <w:bookmarkStart w:id="4" w:name="_Toc435107513"/>
      <w:r>
        <w:t>Financial position</w:t>
      </w:r>
      <w:bookmarkEnd w:id="4"/>
    </w:p>
    <w:p w:rsidR="00B9470E" w:rsidRPr="00493E7D" w:rsidRDefault="00493E7D" w:rsidP="00B9470E">
      <w:r w:rsidRPr="00493E7D">
        <w:t>Net assets decreased by $1.5 billion to $134.8</w:t>
      </w:r>
      <w:r w:rsidR="00B9470E" w:rsidRPr="00493E7D">
        <w:t> billion for the t</w:t>
      </w:r>
      <w:r w:rsidRPr="00493E7D">
        <w:t>hree months to 30 September</w:t>
      </w:r>
      <w:r w:rsidR="00FC6519">
        <w:t> </w:t>
      </w:r>
      <w:r w:rsidR="007F2909">
        <w:t xml:space="preserve">2015. </w:t>
      </w:r>
      <w:r w:rsidR="00494B5B">
        <w:br/>
      </w:r>
      <w:r w:rsidR="007F2909">
        <w:t>This was</w:t>
      </w:r>
      <w:r w:rsidRPr="00493E7D">
        <w:t xml:space="preserve"> driven mainly by an increase in the</w:t>
      </w:r>
      <w:r w:rsidR="00E20A2E">
        <w:t xml:space="preserve"> valuation of the</w:t>
      </w:r>
      <w:r w:rsidRPr="00493E7D">
        <w:t xml:space="preserve"> superannuation liability</w:t>
      </w:r>
      <w:r w:rsidR="00E20A2E">
        <w:t xml:space="preserve">, </w:t>
      </w:r>
      <w:r w:rsidR="007F2909">
        <w:t>due to</w:t>
      </w:r>
      <w:r w:rsidR="00E20A2E">
        <w:t xml:space="preserve"> the earlier mentioned movements in financial market bond rates</w:t>
      </w:r>
      <w:r w:rsidR="007F2909">
        <w:t>,</w:t>
      </w:r>
      <w:r w:rsidR="00E20A2E">
        <w:t xml:space="preserve"> which are used in the valuation of the liability</w:t>
      </w:r>
      <w:r w:rsidR="00B9470E" w:rsidRPr="00493E7D">
        <w:t>. Total assets remain</w:t>
      </w:r>
      <w:r w:rsidR="002321AB">
        <w:t>ed stable at around $209.5</w:t>
      </w:r>
      <w:r w:rsidRPr="00493E7D">
        <w:t xml:space="preserve"> billion. </w:t>
      </w:r>
    </w:p>
    <w:p w:rsidR="00283E0D" w:rsidRDefault="00B9470E" w:rsidP="00283E0D">
      <w:r w:rsidRPr="00095770">
        <w:t>Net debt in</w:t>
      </w:r>
      <w:r w:rsidR="00493E7D" w:rsidRPr="00095770">
        <w:t>creased by $673 million to $23.0</w:t>
      </w:r>
      <w:r w:rsidRPr="00095770">
        <w:t xml:space="preserve"> billion in the quarter, </w:t>
      </w:r>
      <w:r w:rsidR="00E20A2E">
        <w:t xml:space="preserve">mainly </w:t>
      </w:r>
      <w:r w:rsidRPr="00095770">
        <w:t xml:space="preserve">reflecting </w:t>
      </w:r>
      <w:r w:rsidR="00E20A2E">
        <w:t xml:space="preserve">the progressive delivery of the </w:t>
      </w:r>
      <w:r w:rsidR="00B770E7">
        <w:t>Government</w:t>
      </w:r>
      <w:r w:rsidR="00E20A2E">
        <w:t>’s infrastructure program</w:t>
      </w:r>
      <w:r w:rsidRPr="00095770">
        <w:t>. After allowing fo</w:t>
      </w:r>
      <w:r w:rsidR="00C57608" w:rsidRPr="00095770">
        <w:t>r timing differences</w:t>
      </w:r>
      <w:r w:rsidR="005B5F9C">
        <w:t xml:space="preserve">, </w:t>
      </w:r>
      <w:r w:rsidRPr="00014798">
        <w:t>the increase in net debt is consistent with budget expectation</w:t>
      </w:r>
      <w:r w:rsidR="00493E7D" w:rsidRPr="00014798">
        <w:t>s</w:t>
      </w:r>
      <w:r w:rsidRPr="00014798">
        <w:t>.</w:t>
      </w:r>
      <w:r w:rsidRPr="00EA0FE2">
        <w:t xml:space="preserve"> </w:t>
      </w:r>
    </w:p>
    <w:p w:rsidR="00283E0D" w:rsidRPr="005C65B0" w:rsidRDefault="00283E0D" w:rsidP="00283E0D">
      <w:pPr>
        <w:pStyle w:val="Heading2"/>
        <w:spacing w:before="200"/>
      </w:pPr>
      <w:bookmarkStart w:id="5" w:name="_Toc435107514"/>
      <w:r>
        <w:lastRenderedPageBreak/>
        <w:t>Cash flows</w:t>
      </w:r>
      <w:bookmarkEnd w:id="5"/>
    </w:p>
    <w:p w:rsidR="00B9470E" w:rsidRDefault="00B9470E" w:rsidP="00B9470E">
      <w:r w:rsidRPr="00135C7F">
        <w:t>Cash flow movements disclosed in the cash flow statement were consistent with the combined impact of the</w:t>
      </w:r>
      <w:r w:rsidR="00E20A2E">
        <w:t xml:space="preserve"> previously</w:t>
      </w:r>
      <w:r w:rsidRPr="00135C7F">
        <w:t xml:space="preserve"> mentioned drivers associated with the operating statement and balance sheet.</w:t>
      </w:r>
    </w:p>
    <w:p w:rsidR="00E4295B" w:rsidRPr="001F4568" w:rsidRDefault="00E4295B" w:rsidP="00B9470E">
      <w:pPr>
        <w:rPr>
          <w:rFonts w:asciiTheme="minorHAnsi" w:hAnsiTheme="minorHAnsi"/>
          <w:b/>
        </w:rPr>
      </w:pPr>
      <w:r w:rsidRPr="001F4568">
        <w:rPr>
          <w:rFonts w:asciiTheme="minorHAnsi" w:hAnsiTheme="minorHAnsi"/>
          <w:b/>
        </w:rPr>
        <w:t>Infrastructure investment</w:t>
      </w:r>
    </w:p>
    <w:p w:rsidR="00283E0D" w:rsidRDefault="00E4295B" w:rsidP="00283E0D">
      <w:r>
        <w:t>The State continues to deliver its infrastructure program to support growing community needs and ongoing productivity improveme</w:t>
      </w:r>
      <w:r w:rsidR="0082513C">
        <w:t xml:space="preserve">nt. </w:t>
      </w:r>
      <w:r w:rsidR="00FC6519">
        <w:t>For the three months to 30 September </w:t>
      </w:r>
      <w:r>
        <w:t xml:space="preserve">2015, net investment </w:t>
      </w:r>
      <w:r w:rsidR="00FC6519">
        <w:t>in infrastructure totalled $908 </w:t>
      </w:r>
      <w:r>
        <w:t>million</w:t>
      </w:r>
      <w:r w:rsidR="00E20A2E">
        <w:t>,</w:t>
      </w:r>
      <w:r w:rsidR="00CE2F83">
        <w:t xml:space="preserve"> in line with</w:t>
      </w:r>
      <w:r w:rsidR="00E20A2E">
        <w:t xml:space="preserve"> full year</w:t>
      </w:r>
      <w:r w:rsidR="00CE2F83">
        <w:t xml:space="preserve"> budget expectations</w:t>
      </w:r>
      <w:r w:rsidR="00376DFB">
        <w:t>.</w:t>
      </w:r>
    </w:p>
    <w:p w:rsidR="007049C1" w:rsidRPr="007049C1" w:rsidRDefault="007049C1" w:rsidP="007049C1">
      <w:pPr>
        <w:keepNext/>
        <w:shd w:val="clear" w:color="auto" w:fill="E6E6E6"/>
        <w:spacing w:before="120" w:after="60"/>
        <w:outlineLvl w:val="4"/>
        <w:rPr>
          <w:rFonts w:ascii="Calibri" w:hAnsi="Calibri"/>
          <w:b/>
          <w:i/>
          <w:szCs w:val="24"/>
        </w:rPr>
      </w:pPr>
      <w:r w:rsidRPr="007049C1">
        <w:rPr>
          <w:rFonts w:ascii="Calibri" w:hAnsi="Calibri"/>
          <w:b/>
          <w:i/>
          <w:szCs w:val="24"/>
        </w:rPr>
        <w:t>The Government’s infrastructure scorecard</w:t>
      </w:r>
      <w:r w:rsidR="00AF4A10">
        <w:rPr>
          <w:rFonts w:ascii="Calibri" w:hAnsi="Calibri"/>
          <w:b/>
          <w:i/>
          <w:szCs w:val="24"/>
        </w:rPr>
        <w:t xml:space="preserve"> </w:t>
      </w:r>
      <w:r w:rsidR="00491ED5">
        <w:rPr>
          <w:rFonts w:ascii="Calibri" w:hAnsi="Calibri"/>
          <w:b/>
          <w:i/>
          <w:szCs w:val="24"/>
        </w:rPr>
        <w:t xml:space="preserve">as </w:t>
      </w:r>
      <w:r w:rsidR="00AF4A10">
        <w:rPr>
          <w:rFonts w:ascii="Calibri" w:hAnsi="Calibri"/>
          <w:b/>
          <w:i/>
          <w:szCs w:val="24"/>
        </w:rPr>
        <w:t>at 30 September 2015</w:t>
      </w:r>
    </w:p>
    <w:p w:rsidR="007049C1" w:rsidRPr="007049C1" w:rsidRDefault="00AF4A10" w:rsidP="007049C1">
      <w:pPr>
        <w:shd w:val="pct10" w:color="auto" w:fill="FFFFFF"/>
        <w:tabs>
          <w:tab w:val="num" w:pos="0"/>
        </w:tabs>
      </w:pPr>
      <w:r>
        <w:t>M</w:t>
      </w:r>
      <w:r w:rsidR="007049C1" w:rsidRPr="007049C1">
        <w:t>ajor infrastructure projects in progress</w:t>
      </w:r>
      <w:r w:rsidR="00376DFB">
        <w:t>:</w:t>
      </w:r>
    </w:p>
    <w:p w:rsidR="007049C1" w:rsidRPr="00376DFB" w:rsidRDefault="007049C1" w:rsidP="00376DFB">
      <w:pPr>
        <w:pStyle w:val="HighlightBoxBullet"/>
      </w:pPr>
      <w:r w:rsidRPr="00376DFB">
        <w:t>new Bendigo Hospital;</w:t>
      </w:r>
    </w:p>
    <w:p w:rsidR="007049C1" w:rsidRDefault="007049C1" w:rsidP="00376DFB">
      <w:pPr>
        <w:pStyle w:val="HighlightBoxBullet"/>
      </w:pPr>
      <w:r w:rsidRPr="00376DFB">
        <w:t>Box Hill Hospital redevelopment;</w:t>
      </w:r>
    </w:p>
    <w:p w:rsidR="003477DF" w:rsidRPr="007049C1" w:rsidRDefault="003477DF" w:rsidP="003477DF">
      <w:pPr>
        <w:pStyle w:val="HighlightBoxBullet"/>
      </w:pPr>
      <w:r w:rsidRPr="007049C1">
        <w:t>Casey Hospital expansion;</w:t>
      </w:r>
    </w:p>
    <w:p w:rsidR="003477DF" w:rsidRPr="007049C1" w:rsidRDefault="003477DF" w:rsidP="003477DF">
      <w:pPr>
        <w:pStyle w:val="HighlightBoxBullet"/>
      </w:pPr>
      <w:r w:rsidRPr="007049C1">
        <w:t>Chandler Highway Bridge duplication;</w:t>
      </w:r>
    </w:p>
    <w:p w:rsidR="007049C1" w:rsidRDefault="007049C1" w:rsidP="00376DFB">
      <w:pPr>
        <w:pStyle w:val="HighlightBoxBullet"/>
      </w:pPr>
      <w:proofErr w:type="spellStart"/>
      <w:r w:rsidRPr="00376DFB">
        <w:t>CityLink</w:t>
      </w:r>
      <w:r w:rsidRPr="00376DFB">
        <w:noBreakHyphen/>
        <w:t>Tulla</w:t>
      </w:r>
      <w:proofErr w:type="spellEnd"/>
      <w:r w:rsidRPr="00376DFB">
        <w:t xml:space="preserve"> widening project – Tullamarine freeway widening;</w:t>
      </w:r>
    </w:p>
    <w:p w:rsidR="003477DF" w:rsidRPr="007049C1" w:rsidRDefault="003477DF" w:rsidP="003477DF">
      <w:pPr>
        <w:pStyle w:val="HighlightBoxBullet"/>
      </w:pPr>
      <w:r w:rsidRPr="007049C1">
        <w:t>Dingley Bypass;</w:t>
      </w:r>
    </w:p>
    <w:p w:rsidR="007049C1" w:rsidRPr="00376DFB" w:rsidRDefault="007049C1" w:rsidP="00376DFB">
      <w:pPr>
        <w:pStyle w:val="HighlightBoxBullet"/>
      </w:pPr>
      <w:r w:rsidRPr="00376DFB">
        <w:t>Goulburn-Murray Water Connections Project (Northern Victoria Irrigation Renewal Project);</w:t>
      </w:r>
    </w:p>
    <w:p w:rsidR="007049C1" w:rsidRDefault="007049C1" w:rsidP="00376DFB">
      <w:pPr>
        <w:pStyle w:val="HighlightBoxBullet"/>
      </w:pPr>
      <w:r w:rsidRPr="00376DFB">
        <w:t>Hopkins Correctional Centre Expansion (Ararat Prison);</w:t>
      </w:r>
    </w:p>
    <w:p w:rsidR="003477DF" w:rsidRPr="007049C1" w:rsidRDefault="003477DF" w:rsidP="003477DF">
      <w:pPr>
        <w:pStyle w:val="HighlightBoxBullet"/>
      </w:pPr>
      <w:r w:rsidRPr="007049C1">
        <w:t xml:space="preserve">Joan </w:t>
      </w:r>
      <w:proofErr w:type="spellStart"/>
      <w:r w:rsidRPr="007049C1">
        <w:t>Kirner</w:t>
      </w:r>
      <w:proofErr w:type="spellEnd"/>
      <w:r w:rsidRPr="007049C1">
        <w:t xml:space="preserve"> Women’s and Children’s Hospital;</w:t>
      </w:r>
    </w:p>
    <w:p w:rsidR="003477DF" w:rsidRPr="007049C1" w:rsidRDefault="003477DF" w:rsidP="003477DF">
      <w:pPr>
        <w:pStyle w:val="HighlightBoxBullet"/>
      </w:pPr>
      <w:r w:rsidRPr="007049C1">
        <w:t>Melbourne Convention and Exhibition Centre – Stage 2;</w:t>
      </w:r>
    </w:p>
    <w:p w:rsidR="007049C1" w:rsidRPr="00376DFB" w:rsidRDefault="007049C1" w:rsidP="00376DFB">
      <w:pPr>
        <w:pStyle w:val="HighlightBoxBullet"/>
      </w:pPr>
      <w:r w:rsidRPr="00376DFB">
        <w:t>Melbourne Metro Rail Project;</w:t>
      </w:r>
    </w:p>
    <w:p w:rsidR="007049C1" w:rsidRPr="00376DFB" w:rsidRDefault="007F2909" w:rsidP="00376DFB">
      <w:pPr>
        <w:pStyle w:val="HighlightBoxBullet"/>
      </w:pPr>
      <w:r>
        <w:t>Melbourne Park r</w:t>
      </w:r>
      <w:r w:rsidR="007049C1" w:rsidRPr="00376DFB">
        <w:t>edevelopment;</w:t>
      </w:r>
    </w:p>
    <w:p w:rsidR="007049C1" w:rsidRPr="00376DFB" w:rsidRDefault="007049C1" w:rsidP="00376DFB">
      <w:pPr>
        <w:pStyle w:val="HighlightBoxBullet"/>
      </w:pPr>
      <w:r w:rsidRPr="00376DFB">
        <w:t>Melbourne Wholesale Markets redevelopment;</w:t>
      </w:r>
    </w:p>
    <w:p w:rsidR="007049C1" w:rsidRDefault="007049C1" w:rsidP="00376DFB">
      <w:pPr>
        <w:pStyle w:val="HighlightBoxBullet"/>
      </w:pPr>
      <w:r w:rsidRPr="00376DFB">
        <w:t xml:space="preserve">Monash Children’s Hospital; </w:t>
      </w:r>
    </w:p>
    <w:p w:rsidR="003477DF" w:rsidRDefault="003477DF" w:rsidP="003477DF">
      <w:pPr>
        <w:pStyle w:val="HighlightBoxBullet"/>
      </w:pPr>
      <w:r w:rsidRPr="007049C1">
        <w:t xml:space="preserve">Murray Basin Rail Project; </w:t>
      </w:r>
    </w:p>
    <w:p w:rsidR="00B36FB1" w:rsidRDefault="00B36FB1" w:rsidP="00B36FB1">
      <w:pPr>
        <w:pStyle w:val="HighlightBoxBullet"/>
      </w:pPr>
      <w:r w:rsidRPr="007049C1">
        <w:t>M80 upgrade (Sun</w:t>
      </w:r>
      <w:r>
        <w:t>shine Avenue to Calder Freeway);</w:t>
      </w:r>
    </w:p>
    <w:p w:rsidR="003477DF" w:rsidRPr="007049C1" w:rsidRDefault="003477DF" w:rsidP="003477DF">
      <w:pPr>
        <w:pStyle w:val="HighlightBoxBullet"/>
      </w:pPr>
      <w:r>
        <w:t>n</w:t>
      </w:r>
      <w:r w:rsidRPr="00376DFB">
        <w:t>ew schools private public p</w:t>
      </w:r>
      <w:r>
        <w:t>artnership (PPP);</w:t>
      </w:r>
    </w:p>
    <w:p w:rsidR="007049C1" w:rsidRPr="00376DFB" w:rsidRDefault="007049C1" w:rsidP="00376DFB">
      <w:pPr>
        <w:pStyle w:val="HighlightBoxBullet"/>
      </w:pPr>
      <w:r w:rsidRPr="00376DFB">
        <w:t>new trains, trams and associated infrastructure for Melbourne commuters;</w:t>
      </w:r>
    </w:p>
    <w:p w:rsidR="007049C1" w:rsidRPr="00376DFB" w:rsidRDefault="0082513C" w:rsidP="00376DFB">
      <w:pPr>
        <w:pStyle w:val="HighlightBoxBullet"/>
      </w:pPr>
      <w:r w:rsidRPr="00376DFB">
        <w:t>Port c</w:t>
      </w:r>
      <w:r w:rsidR="007049C1" w:rsidRPr="00376DFB">
        <w:t>apacity;</w:t>
      </w:r>
    </w:p>
    <w:p w:rsidR="007049C1" w:rsidRPr="00376DFB" w:rsidRDefault="007049C1" w:rsidP="00376DFB">
      <w:pPr>
        <w:pStyle w:val="HighlightBoxBullet"/>
      </w:pPr>
      <w:r w:rsidRPr="00376DFB">
        <w:t>Princes Highway duplication project – Winchelsea to Colac;</w:t>
      </w:r>
    </w:p>
    <w:p w:rsidR="007049C1" w:rsidRPr="00376DFB" w:rsidRDefault="007049C1" w:rsidP="00376DFB">
      <w:pPr>
        <w:pStyle w:val="HighlightBoxBullet"/>
      </w:pPr>
      <w:r w:rsidRPr="00376DFB">
        <w:t xml:space="preserve">Princes Highway East – Traralgon to Sale duplication; </w:t>
      </w:r>
    </w:p>
    <w:p w:rsidR="007049C1" w:rsidRPr="00376DFB" w:rsidRDefault="007049C1" w:rsidP="00376DFB">
      <w:pPr>
        <w:pStyle w:val="HighlightBoxBullet"/>
      </w:pPr>
      <w:r w:rsidRPr="00376DFB">
        <w:t xml:space="preserve">Ravenhall Prison; </w:t>
      </w:r>
    </w:p>
    <w:p w:rsidR="007049C1" w:rsidRPr="00376DFB" w:rsidRDefault="007049C1" w:rsidP="00376DFB">
      <w:pPr>
        <w:pStyle w:val="HighlightBoxBullet"/>
      </w:pPr>
      <w:r w:rsidRPr="00376DFB">
        <w:t>regional rolling stock;</w:t>
      </w:r>
    </w:p>
    <w:p w:rsidR="007049C1" w:rsidRPr="00376DFB" w:rsidRDefault="007049C1" w:rsidP="00376DFB">
      <w:pPr>
        <w:pStyle w:val="HighlightBoxBullet"/>
      </w:pPr>
      <w:r w:rsidRPr="00376DFB">
        <w:t>Royal Victorian Eye and Ear Hospital;</w:t>
      </w:r>
    </w:p>
    <w:p w:rsidR="007049C1" w:rsidRPr="00376DFB" w:rsidRDefault="007049C1" w:rsidP="00376DFB">
      <w:pPr>
        <w:pStyle w:val="HighlightBoxBullet"/>
      </w:pPr>
      <w:r w:rsidRPr="00376DFB">
        <w:t>State Coronial Services Centre;</w:t>
      </w:r>
    </w:p>
    <w:p w:rsidR="007049C1" w:rsidRPr="00376DFB" w:rsidRDefault="0082513C" w:rsidP="00376DFB">
      <w:pPr>
        <w:pStyle w:val="HighlightBoxBullet"/>
      </w:pPr>
      <w:r w:rsidRPr="00376DFB">
        <w:t>Level Crossing</w:t>
      </w:r>
      <w:r w:rsidR="007049C1" w:rsidRPr="00376DFB">
        <w:t xml:space="preserve"> Removal Program; </w:t>
      </w:r>
    </w:p>
    <w:p w:rsidR="007049C1" w:rsidRPr="00376DFB" w:rsidRDefault="007049C1" w:rsidP="00376DFB">
      <w:pPr>
        <w:pStyle w:val="HighlightBoxBullet"/>
      </w:pPr>
      <w:r w:rsidRPr="00376DFB">
        <w:t>Victorian Comprehensive Cancer Centre; and</w:t>
      </w:r>
    </w:p>
    <w:p w:rsidR="007049C1" w:rsidRDefault="007049C1" w:rsidP="00AF4A10">
      <w:pPr>
        <w:pStyle w:val="HighlightBoxBullet"/>
      </w:pPr>
      <w:r w:rsidRPr="00376DFB">
        <w:t>Western Highway duplication.</w:t>
      </w:r>
    </w:p>
    <w:p w:rsidR="009052F5" w:rsidRDefault="00283E0D" w:rsidP="009052F5">
      <w:pPr>
        <w:pStyle w:val="Heading1"/>
      </w:pPr>
      <w:r>
        <w:br w:type="page"/>
      </w:r>
      <w:bookmarkStart w:id="6" w:name="_Toc435107515"/>
      <w:r>
        <w:lastRenderedPageBreak/>
        <w:t>Financial statements for the general government sector</w:t>
      </w:r>
      <w:bookmarkEnd w:id="6"/>
    </w:p>
    <w:p w:rsidR="009A3756" w:rsidRPr="009A3756" w:rsidRDefault="009A3756" w:rsidP="009A3756">
      <w:pPr>
        <w:pStyle w:val="Heading2"/>
      </w:pPr>
      <w:bookmarkStart w:id="7" w:name="_Toc435107516"/>
      <w:r w:rsidRPr="009A3756">
        <w:t>Comprehensive operating statement for the per</w:t>
      </w:r>
      <w:r>
        <w:t>iod ending 30 September</w:t>
      </w:r>
      <w:bookmarkEnd w:id="7"/>
    </w:p>
    <w:tbl>
      <w:tblPr>
        <w:tblW w:w="9638" w:type="dxa"/>
        <w:tblInd w:w="28" w:type="dxa"/>
        <w:tblLayout w:type="fixed"/>
        <w:tblCellMar>
          <w:left w:w="28" w:type="dxa"/>
          <w:right w:w="28" w:type="dxa"/>
        </w:tblCellMar>
        <w:tblLook w:val="0000" w:firstRow="0" w:lastRow="0" w:firstColumn="0" w:lastColumn="0" w:noHBand="0" w:noVBand="0"/>
      </w:tblPr>
      <w:tblGrid>
        <w:gridCol w:w="1134"/>
        <w:gridCol w:w="5499"/>
        <w:gridCol w:w="737"/>
        <w:gridCol w:w="1134"/>
        <w:gridCol w:w="1134"/>
      </w:tblGrid>
      <w:tr w:rsidR="009A3756" w:rsidRPr="009052F5" w:rsidTr="009A3756">
        <w:trPr>
          <w:cantSplit/>
          <w:tblHeader/>
        </w:trPr>
        <w:tc>
          <w:tcPr>
            <w:tcW w:w="9638" w:type="dxa"/>
            <w:gridSpan w:val="5"/>
            <w:tcBorders>
              <w:top w:val="nil"/>
              <w:left w:val="nil"/>
              <w:bottom w:val="nil"/>
              <w:right w:val="nil"/>
            </w:tcBorders>
          </w:tcPr>
          <w:p w:rsidR="009A3756" w:rsidRPr="009052F5" w:rsidRDefault="009A3756" w:rsidP="009052F5">
            <w:pPr>
              <w:pStyle w:val="million"/>
              <w:rPr>
                <w:rFonts w:eastAsiaTheme="minorEastAsia"/>
                <w:lang w:eastAsia="en-AU"/>
              </w:rPr>
            </w:pPr>
            <w:r w:rsidRPr="009052F5">
              <w:rPr>
                <w:rFonts w:eastAsiaTheme="minorEastAsia"/>
                <w:lang w:eastAsia="en-AU"/>
              </w:rPr>
              <w:t>($ million)</w:t>
            </w:r>
          </w:p>
        </w:tc>
      </w:tr>
      <w:tr w:rsidR="009A3756" w:rsidRPr="009052F5" w:rsidTr="0003004E">
        <w:trPr>
          <w:cantSplit/>
          <w:tblHeader/>
        </w:trPr>
        <w:tc>
          <w:tcPr>
            <w:tcW w:w="1134" w:type="dxa"/>
            <w:tcBorders>
              <w:top w:val="nil"/>
              <w:left w:val="nil"/>
              <w:bottom w:val="nil"/>
              <w:right w:val="nil"/>
            </w:tcBorders>
            <w:shd w:val="solid" w:color="000000" w:fill="auto"/>
          </w:tcPr>
          <w:p w:rsidR="009A3756" w:rsidRPr="009052F5" w:rsidRDefault="009A3756"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2014-15 </w:t>
            </w:r>
          </w:p>
        </w:tc>
        <w:tc>
          <w:tcPr>
            <w:tcW w:w="5499" w:type="dxa"/>
            <w:vMerge w:val="restart"/>
            <w:tcBorders>
              <w:top w:val="nil"/>
              <w:left w:val="nil"/>
              <w:right w:val="nil"/>
            </w:tcBorders>
            <w:shd w:val="solid" w:color="000000" w:fill="auto"/>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tcBorders>
              <w:top w:val="nil"/>
              <w:left w:val="nil"/>
              <w:bottom w:val="nil"/>
              <w:right w:val="nil"/>
            </w:tcBorders>
            <w:shd w:val="solid" w:color="000000" w:fill="auto"/>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2268" w:type="dxa"/>
            <w:gridSpan w:val="2"/>
            <w:tcBorders>
              <w:top w:val="nil"/>
              <w:left w:val="nil"/>
              <w:bottom w:val="nil"/>
              <w:right w:val="nil"/>
            </w:tcBorders>
            <w:shd w:val="solid" w:color="000000" w:fill="auto"/>
          </w:tcPr>
          <w:p w:rsidR="009A3756" w:rsidRPr="009052F5" w:rsidRDefault="009A3756" w:rsidP="00B85D36">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2015-16</w:t>
            </w:r>
          </w:p>
        </w:tc>
      </w:tr>
      <w:tr w:rsidR="009A3756" w:rsidRPr="009052F5" w:rsidTr="0003004E">
        <w:trPr>
          <w:cantSplit/>
          <w:trHeight w:val="537"/>
          <w:tblHeader/>
        </w:trPr>
        <w:tc>
          <w:tcPr>
            <w:tcW w:w="1134" w:type="dxa"/>
            <w:tcBorders>
              <w:top w:val="nil"/>
              <w:left w:val="nil"/>
              <w:bottom w:val="nil"/>
              <w:right w:val="nil"/>
            </w:tcBorders>
            <w:shd w:val="solid" w:color="000000" w:fill="auto"/>
          </w:tcPr>
          <w:p w:rsidR="009A3756" w:rsidRPr="009052F5" w:rsidRDefault="009A3756"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Actual </w:t>
            </w:r>
          </w:p>
          <w:p w:rsidR="009A3756" w:rsidRPr="009052F5" w:rsidRDefault="009A3756"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to Sep</w:t>
            </w:r>
            <w:r w:rsidRPr="009052F5">
              <w:rPr>
                <w:rFonts w:ascii="Calibri" w:eastAsiaTheme="minorEastAsia" w:hAnsi="Calibri" w:cs="Calibri"/>
                <w:i/>
                <w:iCs/>
                <w:color w:val="FFFFFF"/>
                <w:sz w:val="22"/>
                <w:szCs w:val="22"/>
                <w:vertAlign w:val="superscript"/>
                <w:lang w:eastAsia="en-AU"/>
              </w:rPr>
              <w:t>(a)</w:t>
            </w:r>
          </w:p>
        </w:tc>
        <w:tc>
          <w:tcPr>
            <w:tcW w:w="5499" w:type="dxa"/>
            <w:vMerge/>
            <w:tcBorders>
              <w:left w:val="nil"/>
              <w:bottom w:val="nil"/>
              <w:right w:val="nil"/>
            </w:tcBorders>
            <w:shd w:val="solid" w:color="000000" w:fill="auto"/>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p>
        </w:tc>
        <w:tc>
          <w:tcPr>
            <w:tcW w:w="737" w:type="dxa"/>
            <w:tcBorders>
              <w:top w:val="nil"/>
              <w:left w:val="nil"/>
              <w:bottom w:val="nil"/>
              <w:right w:val="nil"/>
            </w:tcBorders>
            <w:shd w:val="solid" w:color="000000" w:fill="auto"/>
          </w:tcPr>
          <w:p w:rsidR="009A3756" w:rsidRPr="009052F5" w:rsidRDefault="009A3756" w:rsidP="009052F5">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 </w:t>
            </w:r>
          </w:p>
          <w:p w:rsidR="009A3756" w:rsidRPr="009052F5" w:rsidRDefault="009A3756" w:rsidP="009052F5">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Notes</w:t>
            </w:r>
          </w:p>
        </w:tc>
        <w:tc>
          <w:tcPr>
            <w:tcW w:w="1134" w:type="dxa"/>
            <w:tcBorders>
              <w:top w:val="nil"/>
              <w:left w:val="nil"/>
              <w:bottom w:val="nil"/>
              <w:right w:val="nil"/>
            </w:tcBorders>
            <w:shd w:val="solid" w:color="000000" w:fill="auto"/>
          </w:tcPr>
          <w:p w:rsidR="009A3756" w:rsidRPr="009052F5" w:rsidRDefault="009A3756"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Actual </w:t>
            </w:r>
          </w:p>
          <w:p w:rsidR="009A3756" w:rsidRPr="009052F5" w:rsidRDefault="009A3756"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to Sep</w:t>
            </w:r>
          </w:p>
        </w:tc>
        <w:tc>
          <w:tcPr>
            <w:tcW w:w="1134" w:type="dxa"/>
            <w:tcBorders>
              <w:top w:val="nil"/>
              <w:left w:val="nil"/>
              <w:bottom w:val="nil"/>
              <w:right w:val="nil"/>
            </w:tcBorders>
            <w:shd w:val="solid" w:color="000000" w:fill="auto"/>
          </w:tcPr>
          <w:p w:rsidR="009A3756" w:rsidRPr="009052F5" w:rsidRDefault="009A3756"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Annual </w:t>
            </w:r>
          </w:p>
          <w:p w:rsidR="009A3756" w:rsidRPr="009052F5" w:rsidRDefault="009A3756"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budget</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Revenue from transactions</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4 711</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Taxation revenue</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5 061</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19 024</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205</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Interest revenue</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203</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831</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51</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Dividends and income tax equivalent and rate equivalent revenue</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59</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1 144</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1 657</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Sales of goods and services</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1 661</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6 779</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5 665</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Grant revenue</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6 010</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25 579</w:t>
            </w:r>
          </w:p>
        </w:tc>
      </w:tr>
      <w:tr w:rsidR="009A3756" w:rsidRPr="009052F5" w:rsidTr="009A3756">
        <w:trPr>
          <w:cantSplit/>
        </w:trPr>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566</w:t>
            </w:r>
          </w:p>
        </w:tc>
        <w:tc>
          <w:tcPr>
            <w:tcW w:w="5499"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revenue</w:t>
            </w:r>
          </w:p>
        </w:tc>
        <w:tc>
          <w:tcPr>
            <w:tcW w:w="737"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6</w:t>
            </w:r>
          </w:p>
        </w:tc>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564</w:t>
            </w:r>
          </w:p>
        </w:tc>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2 171</w:t>
            </w:r>
          </w:p>
        </w:tc>
      </w:tr>
      <w:tr w:rsidR="009A3756" w:rsidRPr="009052F5" w:rsidTr="009A3756">
        <w:trPr>
          <w:cantSplit/>
        </w:trPr>
        <w:tc>
          <w:tcPr>
            <w:tcW w:w="1134" w:type="dxa"/>
            <w:tcBorders>
              <w:top w:val="single" w:sz="6"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12 855</w:t>
            </w:r>
          </w:p>
        </w:tc>
        <w:tc>
          <w:tcPr>
            <w:tcW w:w="5499" w:type="dxa"/>
            <w:tcBorders>
              <w:top w:val="single" w:sz="6" w:space="0" w:color="000000"/>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revenue from transactions</w:t>
            </w:r>
          </w:p>
        </w:tc>
        <w:tc>
          <w:tcPr>
            <w:tcW w:w="737" w:type="dxa"/>
            <w:tcBorders>
              <w:top w:val="single" w:sz="6" w:space="0" w:color="000000"/>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13 559</w:t>
            </w:r>
          </w:p>
        </w:tc>
        <w:tc>
          <w:tcPr>
            <w:tcW w:w="1134" w:type="dxa"/>
            <w:tcBorders>
              <w:top w:val="single" w:sz="6"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55 529</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Expenses from transactions</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4 510</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Employee expenses</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4 768</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19 903</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258</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superannuation interest expense</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7</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223</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886</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484</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superannuation</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7</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554</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2 102</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597</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Depreciation</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8</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605</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2 577</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523</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Interest expense</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513</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2 096</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2 003</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Grant expense</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2 172</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8 687</w:t>
            </w:r>
          </w:p>
        </w:tc>
      </w:tr>
      <w:tr w:rsidR="009A3756" w:rsidRPr="009052F5" w:rsidTr="009A3756">
        <w:trPr>
          <w:cantSplit/>
        </w:trPr>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4 063</w:t>
            </w:r>
          </w:p>
        </w:tc>
        <w:tc>
          <w:tcPr>
            <w:tcW w:w="5499"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operating expenses</w:t>
            </w:r>
          </w:p>
        </w:tc>
        <w:tc>
          <w:tcPr>
            <w:tcW w:w="737"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4 204</w:t>
            </w:r>
          </w:p>
        </w:tc>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18 058</w:t>
            </w:r>
          </w:p>
        </w:tc>
      </w:tr>
      <w:tr w:rsidR="009A3756" w:rsidRPr="009052F5" w:rsidTr="009A3756">
        <w:trPr>
          <w:cantSplit/>
        </w:trPr>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12 438</w:t>
            </w:r>
          </w:p>
        </w:tc>
        <w:tc>
          <w:tcPr>
            <w:tcW w:w="5499"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expenses from transactions</w:t>
            </w:r>
          </w:p>
        </w:tc>
        <w:tc>
          <w:tcPr>
            <w:tcW w:w="737"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9</w:t>
            </w:r>
          </w:p>
        </w:tc>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13 040</w:t>
            </w:r>
          </w:p>
        </w:tc>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54 310</w:t>
            </w:r>
          </w:p>
        </w:tc>
      </w:tr>
      <w:tr w:rsidR="009A3756" w:rsidRPr="009052F5"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417</w:t>
            </w:r>
          </w:p>
        </w:tc>
        <w:tc>
          <w:tcPr>
            <w:tcW w:w="5499"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result from transactions – net operating balance</w:t>
            </w:r>
          </w:p>
        </w:tc>
        <w:tc>
          <w:tcPr>
            <w:tcW w:w="737"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519</w:t>
            </w:r>
          </w:p>
        </w:tc>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1 219</w:t>
            </w:r>
          </w:p>
        </w:tc>
      </w:tr>
      <w:tr w:rsidR="009A3756" w:rsidRPr="009052F5" w:rsidTr="009A3756">
        <w:trPr>
          <w:cantSplit/>
        </w:trPr>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Other economic flows included in net result</w:t>
            </w:r>
          </w:p>
        </w:tc>
        <w:tc>
          <w:tcPr>
            <w:tcW w:w="737"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gain/(loss) on disposal of non-financial assets</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(13)</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64</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19</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gain/(loss) on financial assets or liabilities at fair value</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(29)</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5 402</w:t>
            </w:r>
          </w:p>
        </w:tc>
      </w:tr>
      <w:tr w:rsidR="009A3756" w:rsidRPr="009052F5" w:rsidTr="009A3756">
        <w:trPr>
          <w:cantSplit/>
        </w:trPr>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(90)</w:t>
            </w:r>
          </w:p>
        </w:tc>
        <w:tc>
          <w:tcPr>
            <w:tcW w:w="5499"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gains/(losses) from other economic flows</w:t>
            </w:r>
          </w:p>
        </w:tc>
        <w:tc>
          <w:tcPr>
            <w:tcW w:w="737"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10</w:t>
            </w:r>
          </w:p>
        </w:tc>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(124)</w:t>
            </w:r>
          </w:p>
        </w:tc>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(318)</w:t>
            </w:r>
          </w:p>
        </w:tc>
      </w:tr>
      <w:tr w:rsidR="009A3756" w:rsidRPr="009052F5" w:rsidTr="009A3756">
        <w:trPr>
          <w:cantSplit/>
        </w:trPr>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(66)</w:t>
            </w:r>
          </w:p>
        </w:tc>
        <w:tc>
          <w:tcPr>
            <w:tcW w:w="5499"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other economic flows included in net result</w:t>
            </w:r>
          </w:p>
        </w:tc>
        <w:tc>
          <w:tcPr>
            <w:tcW w:w="737"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(166)</w:t>
            </w:r>
          </w:p>
        </w:tc>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5 147</w:t>
            </w:r>
          </w:p>
        </w:tc>
      </w:tr>
      <w:tr w:rsidR="009A3756" w:rsidRPr="009052F5"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351</w:t>
            </w:r>
          </w:p>
        </w:tc>
        <w:tc>
          <w:tcPr>
            <w:tcW w:w="5499"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result</w:t>
            </w:r>
          </w:p>
        </w:tc>
        <w:tc>
          <w:tcPr>
            <w:tcW w:w="737"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353</w:t>
            </w:r>
          </w:p>
        </w:tc>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6 366</w:t>
            </w:r>
          </w:p>
        </w:tc>
      </w:tr>
      <w:tr w:rsidR="009A3756" w:rsidRPr="009052F5" w:rsidTr="009A3756">
        <w:trPr>
          <w:cantSplit/>
        </w:trPr>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Other economic flows – other comprehensive income</w:t>
            </w:r>
          </w:p>
        </w:tc>
        <w:tc>
          <w:tcPr>
            <w:tcW w:w="737"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Items that will not be reclassified to net result</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22</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Changes in non-financial assets revaluation surplus</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32</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756</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121</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proofErr w:type="spellStart"/>
            <w:r w:rsidRPr="009052F5">
              <w:rPr>
                <w:rFonts w:ascii="Calibri" w:eastAsiaTheme="minorEastAsia" w:hAnsi="Calibri" w:cs="Calibri"/>
                <w:color w:val="000000"/>
                <w:sz w:val="22"/>
                <w:szCs w:val="22"/>
                <w:lang w:eastAsia="en-AU"/>
              </w:rPr>
              <w:t>Remeasurement</w:t>
            </w:r>
            <w:proofErr w:type="spellEnd"/>
            <w:r w:rsidRPr="009052F5">
              <w:rPr>
                <w:rFonts w:ascii="Calibri" w:eastAsiaTheme="minorEastAsia" w:hAnsi="Calibri" w:cs="Calibri"/>
                <w:color w:val="000000"/>
                <w:sz w:val="22"/>
                <w:szCs w:val="22"/>
                <w:lang w:eastAsia="en-AU"/>
              </w:rPr>
              <w:t xml:space="preserve"> of superannuation defined benefits plans</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(1 934)</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962</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gain/(loss) on equity investments in other sector entities at proportional share of the carrying amount of net assets</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14</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movements in equity</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6</w:t>
            </w:r>
          </w:p>
        </w:tc>
      </w:tr>
      <w:tr w:rsidR="009A3756" w:rsidRPr="009052F5" w:rsidTr="009A3756">
        <w:trPr>
          <w:cantSplit/>
        </w:trPr>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nil"/>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Items that may be reclassified subsequently to net result</w:t>
            </w:r>
          </w:p>
        </w:tc>
        <w:tc>
          <w:tcPr>
            <w:tcW w:w="737"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9A3756" w:rsidRPr="009052F5" w:rsidTr="009A3756">
        <w:trPr>
          <w:cantSplit/>
        </w:trPr>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w:t>
            </w:r>
          </w:p>
        </w:tc>
        <w:tc>
          <w:tcPr>
            <w:tcW w:w="5499"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gain/(loss) on financial assets at fair value</w:t>
            </w:r>
          </w:p>
        </w:tc>
        <w:tc>
          <w:tcPr>
            <w:tcW w:w="737"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w:t>
            </w:r>
          </w:p>
        </w:tc>
        <w:tc>
          <w:tcPr>
            <w:tcW w:w="1134" w:type="dxa"/>
            <w:tcBorders>
              <w:top w:val="nil"/>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w:t>
            </w:r>
          </w:p>
        </w:tc>
      </w:tr>
      <w:tr w:rsidR="009A3756" w:rsidRPr="009052F5" w:rsidTr="009A3756">
        <w:trPr>
          <w:cantSplit/>
        </w:trPr>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155</w:t>
            </w:r>
          </w:p>
        </w:tc>
        <w:tc>
          <w:tcPr>
            <w:tcW w:w="5499"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other economic flows – other comprehensive income</w:t>
            </w:r>
          </w:p>
        </w:tc>
        <w:tc>
          <w:tcPr>
            <w:tcW w:w="737"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(1 903)</w:t>
            </w:r>
          </w:p>
        </w:tc>
        <w:tc>
          <w:tcPr>
            <w:tcW w:w="1134" w:type="dxa"/>
            <w:tcBorders>
              <w:top w:val="single" w:sz="6" w:space="0" w:color="000000"/>
              <w:left w:val="nil"/>
              <w:bottom w:val="single" w:sz="6"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1 727</w:t>
            </w:r>
          </w:p>
        </w:tc>
      </w:tr>
      <w:tr w:rsidR="009A3756" w:rsidRPr="009052F5"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506</w:t>
            </w:r>
          </w:p>
        </w:tc>
        <w:tc>
          <w:tcPr>
            <w:tcW w:w="5499"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Comprehensive result – total change in net worth</w:t>
            </w:r>
          </w:p>
        </w:tc>
        <w:tc>
          <w:tcPr>
            <w:tcW w:w="737"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(1 550)</w:t>
            </w:r>
          </w:p>
        </w:tc>
        <w:tc>
          <w:tcPr>
            <w:tcW w:w="1134" w:type="dxa"/>
            <w:tcBorders>
              <w:top w:val="single" w:sz="6" w:space="0" w:color="000000"/>
              <w:left w:val="nil"/>
              <w:bottom w:val="single" w:sz="12" w:space="0" w:color="000000"/>
              <w:right w:val="nil"/>
            </w:tcBorders>
            <w:shd w:val="clear" w:color="auto" w:fill="FFFFFF"/>
          </w:tcPr>
          <w:p w:rsidR="009A3756" w:rsidRPr="009052F5" w:rsidRDefault="009A3756"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8 093</w:t>
            </w:r>
          </w:p>
        </w:tc>
      </w:tr>
      <w:tr w:rsidR="009A3756" w:rsidRPr="009052F5" w:rsidTr="009A3756">
        <w:trPr>
          <w:cantSplit/>
          <w:trHeight w:hRule="exact" w:val="120"/>
        </w:trPr>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5499"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9052F5" w:rsidRDefault="009A3756"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r>
    </w:tbl>
    <w:p w:rsidR="00D05873" w:rsidRDefault="00D05873"/>
    <w:p w:rsidR="00D05873" w:rsidRDefault="00D05873">
      <w:r>
        <w:rPr>
          <w:b/>
        </w:rPr>
        <w:br w:type="page"/>
      </w:r>
    </w:p>
    <w:p w:rsidR="009A3756" w:rsidRDefault="009A3756" w:rsidP="00E9110D">
      <w:pPr>
        <w:pStyle w:val="Heading2cont"/>
      </w:pPr>
      <w:r w:rsidRPr="009A3756">
        <w:lastRenderedPageBreak/>
        <w:t>Comprehensive operating statement for the period ending</w:t>
      </w:r>
      <w:r>
        <w:t xml:space="preserve"> 30 September </w:t>
      </w:r>
      <w:r w:rsidRPr="009A3756">
        <w:rPr>
          <w:i/>
        </w:rPr>
        <w:t>(continued)</w:t>
      </w:r>
    </w:p>
    <w:tbl>
      <w:tblPr>
        <w:tblW w:w="9641" w:type="dxa"/>
        <w:tblInd w:w="28" w:type="dxa"/>
        <w:tblLayout w:type="fixed"/>
        <w:tblCellMar>
          <w:left w:w="28" w:type="dxa"/>
          <w:right w:w="28" w:type="dxa"/>
        </w:tblCellMar>
        <w:tblLook w:val="0000" w:firstRow="0" w:lastRow="0" w:firstColumn="0" w:lastColumn="0" w:noHBand="0" w:noVBand="0"/>
      </w:tblPr>
      <w:tblGrid>
        <w:gridCol w:w="1133"/>
        <w:gridCol w:w="5498"/>
        <w:gridCol w:w="737"/>
        <w:gridCol w:w="1134"/>
        <w:gridCol w:w="1139"/>
      </w:tblGrid>
      <w:tr w:rsidR="00DB2687" w:rsidRPr="009052F5" w:rsidTr="00DB2687">
        <w:trPr>
          <w:cantSplit/>
          <w:tblHeader/>
        </w:trPr>
        <w:tc>
          <w:tcPr>
            <w:tcW w:w="9641" w:type="dxa"/>
            <w:gridSpan w:val="5"/>
            <w:tcBorders>
              <w:top w:val="nil"/>
              <w:left w:val="nil"/>
              <w:bottom w:val="nil"/>
              <w:right w:val="nil"/>
            </w:tcBorders>
          </w:tcPr>
          <w:p w:rsidR="00DB2687" w:rsidRPr="009052F5" w:rsidRDefault="00DB2687" w:rsidP="004D4A1E">
            <w:pPr>
              <w:pStyle w:val="million"/>
              <w:rPr>
                <w:rFonts w:eastAsiaTheme="minorEastAsia"/>
                <w:lang w:eastAsia="en-AU"/>
              </w:rPr>
            </w:pPr>
            <w:r w:rsidRPr="009052F5">
              <w:rPr>
                <w:rFonts w:eastAsiaTheme="minorEastAsia"/>
                <w:lang w:eastAsia="en-AU"/>
              </w:rPr>
              <w:t>($ million)</w:t>
            </w:r>
          </w:p>
        </w:tc>
      </w:tr>
      <w:tr w:rsidR="00DB2687" w:rsidRPr="009052F5" w:rsidTr="0035156D">
        <w:trPr>
          <w:cantSplit/>
          <w:tblHeader/>
        </w:trPr>
        <w:tc>
          <w:tcPr>
            <w:tcW w:w="1133" w:type="dxa"/>
            <w:tcBorders>
              <w:top w:val="nil"/>
              <w:left w:val="nil"/>
              <w:bottom w:val="nil"/>
              <w:right w:val="nil"/>
            </w:tcBorders>
            <w:shd w:val="solid" w:color="000000" w:fill="auto"/>
          </w:tcPr>
          <w:p w:rsidR="00DB2687" w:rsidRPr="009052F5" w:rsidRDefault="00DB2687" w:rsidP="004D4A1E">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2014-15 </w:t>
            </w:r>
          </w:p>
        </w:tc>
        <w:tc>
          <w:tcPr>
            <w:tcW w:w="5498" w:type="dxa"/>
            <w:tcBorders>
              <w:top w:val="nil"/>
              <w:left w:val="nil"/>
              <w:bottom w:val="nil"/>
              <w:right w:val="nil"/>
            </w:tcBorders>
            <w:shd w:val="solid" w:color="000000" w:fill="auto"/>
          </w:tcPr>
          <w:p w:rsidR="00DB2687" w:rsidRPr="009052F5" w:rsidRDefault="00DB2687" w:rsidP="004D4A1E">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tcBorders>
              <w:top w:val="nil"/>
              <w:left w:val="nil"/>
              <w:bottom w:val="nil"/>
              <w:right w:val="nil"/>
            </w:tcBorders>
            <w:shd w:val="solid" w:color="000000" w:fill="auto"/>
          </w:tcPr>
          <w:p w:rsidR="00DB2687" w:rsidRPr="009052F5" w:rsidRDefault="00DB2687" w:rsidP="004D4A1E">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2273" w:type="dxa"/>
            <w:gridSpan w:val="2"/>
            <w:tcBorders>
              <w:top w:val="nil"/>
              <w:left w:val="nil"/>
              <w:bottom w:val="nil"/>
              <w:right w:val="nil"/>
            </w:tcBorders>
            <w:shd w:val="solid" w:color="000000" w:fill="auto"/>
          </w:tcPr>
          <w:p w:rsidR="00DB2687" w:rsidRPr="009052F5" w:rsidRDefault="00DB2687" w:rsidP="004D4A1E">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2015-16</w:t>
            </w:r>
          </w:p>
        </w:tc>
      </w:tr>
      <w:tr w:rsidR="00DB2687" w:rsidRPr="009052F5" w:rsidTr="00382753">
        <w:trPr>
          <w:cantSplit/>
          <w:trHeight w:val="537"/>
          <w:tblHeader/>
        </w:trPr>
        <w:tc>
          <w:tcPr>
            <w:tcW w:w="1133" w:type="dxa"/>
            <w:tcBorders>
              <w:top w:val="nil"/>
              <w:left w:val="nil"/>
              <w:right w:val="nil"/>
            </w:tcBorders>
            <w:shd w:val="solid" w:color="000000" w:fill="auto"/>
          </w:tcPr>
          <w:p w:rsidR="00DB2687" w:rsidRPr="009052F5" w:rsidRDefault="00DB2687" w:rsidP="004D4A1E">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Actual </w:t>
            </w:r>
          </w:p>
          <w:p w:rsidR="00DB2687" w:rsidRPr="009052F5" w:rsidRDefault="00DB2687" w:rsidP="004D4A1E">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to Sep</w:t>
            </w:r>
            <w:r w:rsidRPr="009052F5">
              <w:rPr>
                <w:rFonts w:ascii="Calibri" w:eastAsiaTheme="minorEastAsia" w:hAnsi="Calibri" w:cs="Calibri"/>
                <w:i/>
                <w:iCs/>
                <w:color w:val="FFFFFF"/>
                <w:sz w:val="22"/>
                <w:szCs w:val="22"/>
                <w:vertAlign w:val="superscript"/>
                <w:lang w:eastAsia="en-AU"/>
              </w:rPr>
              <w:t>(a)</w:t>
            </w:r>
          </w:p>
        </w:tc>
        <w:tc>
          <w:tcPr>
            <w:tcW w:w="5498" w:type="dxa"/>
            <w:tcBorders>
              <w:top w:val="nil"/>
              <w:left w:val="nil"/>
              <w:right w:val="nil"/>
            </w:tcBorders>
            <w:shd w:val="solid" w:color="000000" w:fill="auto"/>
          </w:tcPr>
          <w:p w:rsidR="00DB2687" w:rsidRPr="009052F5" w:rsidRDefault="00DB2687" w:rsidP="004D4A1E">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p w:rsidR="00DB2687" w:rsidRPr="009052F5" w:rsidRDefault="00DB2687" w:rsidP="004D4A1E">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tcBorders>
              <w:top w:val="nil"/>
              <w:left w:val="nil"/>
              <w:right w:val="nil"/>
            </w:tcBorders>
            <w:shd w:val="solid" w:color="000000" w:fill="auto"/>
          </w:tcPr>
          <w:p w:rsidR="00DB2687" w:rsidRPr="009052F5" w:rsidRDefault="00DB2687" w:rsidP="004D4A1E">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 </w:t>
            </w:r>
          </w:p>
          <w:p w:rsidR="00DB2687" w:rsidRPr="009052F5" w:rsidRDefault="00DB2687" w:rsidP="004D4A1E">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 Notes</w:t>
            </w:r>
          </w:p>
        </w:tc>
        <w:tc>
          <w:tcPr>
            <w:tcW w:w="1134" w:type="dxa"/>
            <w:tcBorders>
              <w:top w:val="nil"/>
              <w:left w:val="nil"/>
              <w:right w:val="nil"/>
            </w:tcBorders>
            <w:shd w:val="solid" w:color="000000" w:fill="auto"/>
          </w:tcPr>
          <w:p w:rsidR="00DB2687" w:rsidRPr="009052F5" w:rsidRDefault="00DB2687" w:rsidP="004D4A1E">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Actual </w:t>
            </w:r>
          </w:p>
          <w:p w:rsidR="00DB2687" w:rsidRPr="009052F5" w:rsidRDefault="00DB2687" w:rsidP="004D4A1E">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to Sep</w:t>
            </w:r>
          </w:p>
        </w:tc>
        <w:tc>
          <w:tcPr>
            <w:tcW w:w="1139" w:type="dxa"/>
            <w:tcBorders>
              <w:top w:val="nil"/>
              <w:left w:val="nil"/>
              <w:right w:val="nil"/>
            </w:tcBorders>
            <w:shd w:val="solid" w:color="000000" w:fill="auto"/>
          </w:tcPr>
          <w:p w:rsidR="00DB2687" w:rsidRPr="009052F5" w:rsidRDefault="00DB2687" w:rsidP="004D4A1E">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Annual </w:t>
            </w:r>
          </w:p>
          <w:p w:rsidR="00DB2687" w:rsidRPr="009052F5" w:rsidRDefault="00DB2687" w:rsidP="004D4A1E">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budget</w:t>
            </w:r>
          </w:p>
        </w:tc>
      </w:tr>
      <w:tr w:rsidR="00DB2687" w:rsidRPr="009052F5" w:rsidTr="00DB2687">
        <w:trPr>
          <w:cantSplit/>
        </w:trPr>
        <w:tc>
          <w:tcPr>
            <w:tcW w:w="1133" w:type="dxa"/>
            <w:tcBorders>
              <w:top w:val="nil"/>
              <w:left w:val="nil"/>
              <w:right w:val="nil"/>
            </w:tcBorders>
            <w:shd w:val="clear" w:color="auto" w:fill="FFFFFF"/>
          </w:tcPr>
          <w:p w:rsidR="00DB2687" w:rsidRPr="009052F5" w:rsidRDefault="00DB2687" w:rsidP="00D05873">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8"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KEY FISCAL AGGREGRATES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9"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3"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417</w:t>
            </w:r>
          </w:p>
        </w:tc>
        <w:tc>
          <w:tcPr>
            <w:tcW w:w="5498"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operating balance</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519</w:t>
            </w:r>
          </w:p>
        </w:tc>
        <w:tc>
          <w:tcPr>
            <w:tcW w:w="1139"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1 219</w:t>
            </w:r>
          </w:p>
        </w:tc>
      </w:tr>
      <w:tr w:rsidR="00DB2687" w:rsidRPr="009052F5" w:rsidTr="00DB2687">
        <w:trPr>
          <w:cantSplit/>
        </w:trPr>
        <w:tc>
          <w:tcPr>
            <w:tcW w:w="1133"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72</w:t>
            </w:r>
          </w:p>
        </w:tc>
        <w:tc>
          <w:tcPr>
            <w:tcW w:w="5498"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Less: Net acquisition of non-financial assets from transactions</w:t>
            </w:r>
            <w:r>
              <w:rPr>
                <w:rFonts w:ascii="Calibri" w:eastAsiaTheme="minorEastAsia" w:hAnsi="Calibri" w:cs="Calibri"/>
                <w:color w:val="000000"/>
                <w:sz w:val="22"/>
                <w:szCs w:val="22"/>
                <w:vertAlign w:val="superscript"/>
                <w:lang w:eastAsia="en-AU"/>
              </w:rPr>
              <w:t>(b</w:t>
            </w:r>
            <w:r w:rsidRPr="007E76DB">
              <w:rPr>
                <w:rFonts w:ascii="Calibri" w:eastAsiaTheme="minorEastAsia" w:hAnsi="Calibri" w:cs="Calibri"/>
                <w:color w:val="000000"/>
                <w:sz w:val="22"/>
                <w:szCs w:val="22"/>
                <w:vertAlign w:val="superscript"/>
                <w:lang w:eastAsia="en-AU"/>
              </w:rPr>
              <w:t>)</w:t>
            </w:r>
          </w:p>
        </w:tc>
        <w:tc>
          <w:tcPr>
            <w:tcW w:w="737"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11</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72</w:t>
            </w:r>
          </w:p>
        </w:tc>
        <w:tc>
          <w:tcPr>
            <w:tcW w:w="1139"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1 366</w:t>
            </w:r>
          </w:p>
        </w:tc>
      </w:tr>
      <w:tr w:rsidR="00DB2687" w:rsidRPr="009052F5" w:rsidTr="00DB2687">
        <w:trPr>
          <w:cantSplit/>
        </w:trPr>
        <w:tc>
          <w:tcPr>
            <w:tcW w:w="1133"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345</w:t>
            </w:r>
          </w:p>
        </w:tc>
        <w:tc>
          <w:tcPr>
            <w:tcW w:w="5498"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lending/(borrowing)</w:t>
            </w:r>
            <w:r w:rsidRPr="00CC521C">
              <w:rPr>
                <w:rFonts w:ascii="Calibri" w:eastAsiaTheme="minorEastAsia" w:hAnsi="Calibri" w:cs="Calibri"/>
                <w:b/>
                <w:bCs/>
                <w:color w:val="000000"/>
                <w:sz w:val="22"/>
                <w:szCs w:val="22"/>
                <w:vertAlign w:val="superscript"/>
                <w:lang w:eastAsia="en-AU"/>
              </w:rPr>
              <w:t>(b)</w:t>
            </w:r>
          </w:p>
        </w:tc>
        <w:tc>
          <w:tcPr>
            <w:tcW w:w="737"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447</w:t>
            </w:r>
          </w:p>
        </w:tc>
        <w:tc>
          <w:tcPr>
            <w:tcW w:w="1139"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(147)</w:t>
            </w:r>
          </w:p>
        </w:tc>
      </w:tr>
      <w:tr w:rsidR="00DB2687" w:rsidRPr="009052F5" w:rsidTr="00DB2687">
        <w:trPr>
          <w:cantSplit/>
        </w:trPr>
        <w:tc>
          <w:tcPr>
            <w:tcW w:w="9641" w:type="dxa"/>
            <w:gridSpan w:val="5"/>
            <w:tcBorders>
              <w:top w:val="single" w:sz="12" w:space="0" w:color="auto"/>
              <w:left w:val="nil"/>
              <w:bottom w:val="nil"/>
              <w:right w:val="nil"/>
            </w:tcBorders>
            <w:shd w:val="clear" w:color="auto" w:fill="auto"/>
          </w:tcPr>
          <w:p w:rsidR="00DB2687" w:rsidRDefault="00DB2687" w:rsidP="009052F5">
            <w:pPr>
              <w:pStyle w:val="Notes"/>
              <w:rPr>
                <w:rFonts w:eastAsiaTheme="minorEastAsia"/>
                <w:lang w:eastAsia="en-AU"/>
              </w:rPr>
            </w:pPr>
            <w:r>
              <w:rPr>
                <w:rFonts w:eastAsiaTheme="minorEastAsia"/>
                <w:lang w:eastAsia="en-AU"/>
              </w:rPr>
              <w:t>The accompanying notes form part of these financial statements.</w:t>
            </w:r>
          </w:p>
          <w:p w:rsidR="00DB2687" w:rsidRDefault="00DB2687" w:rsidP="009052F5">
            <w:pPr>
              <w:pStyle w:val="Notes"/>
              <w:rPr>
                <w:rFonts w:eastAsiaTheme="minorEastAsia"/>
                <w:lang w:eastAsia="en-AU"/>
              </w:rPr>
            </w:pPr>
          </w:p>
          <w:p w:rsidR="00DB2687" w:rsidRPr="009052F5" w:rsidRDefault="00DB2687" w:rsidP="009052F5">
            <w:pPr>
              <w:pStyle w:val="Notes"/>
              <w:rPr>
                <w:rFonts w:eastAsiaTheme="minorEastAsia"/>
                <w:lang w:eastAsia="en-AU"/>
              </w:rPr>
            </w:pPr>
            <w:r w:rsidRPr="009052F5">
              <w:rPr>
                <w:rFonts w:eastAsiaTheme="minorEastAsia"/>
                <w:lang w:eastAsia="en-AU"/>
              </w:rPr>
              <w:t>Note</w:t>
            </w:r>
            <w:r>
              <w:rPr>
                <w:rFonts w:eastAsiaTheme="minorEastAsia"/>
                <w:lang w:eastAsia="en-AU"/>
              </w:rPr>
              <w:t>s</w:t>
            </w:r>
            <w:r w:rsidRPr="009052F5">
              <w:rPr>
                <w:rFonts w:eastAsiaTheme="minorEastAsia"/>
                <w:lang w:eastAsia="en-AU"/>
              </w:rPr>
              <w:t>:</w:t>
            </w:r>
          </w:p>
        </w:tc>
      </w:tr>
      <w:tr w:rsidR="00DB2687" w:rsidRPr="009052F5" w:rsidTr="00DB2687">
        <w:trPr>
          <w:cantSplit/>
        </w:trPr>
        <w:tc>
          <w:tcPr>
            <w:tcW w:w="9641" w:type="dxa"/>
            <w:gridSpan w:val="5"/>
            <w:tcBorders>
              <w:top w:val="nil"/>
              <w:left w:val="nil"/>
              <w:bottom w:val="nil"/>
              <w:right w:val="nil"/>
            </w:tcBorders>
          </w:tcPr>
          <w:p w:rsidR="00DB2687" w:rsidRDefault="00DB2687" w:rsidP="009052F5">
            <w:pPr>
              <w:pStyle w:val="Notes"/>
              <w:rPr>
                <w:rFonts w:eastAsiaTheme="minorEastAsia"/>
                <w:lang w:eastAsia="en-AU"/>
              </w:rPr>
            </w:pPr>
            <w:r>
              <w:rPr>
                <w:rFonts w:eastAsiaTheme="minorEastAsia"/>
                <w:lang w:eastAsia="en-AU"/>
              </w:rPr>
              <w:t>(a)</w:t>
            </w:r>
            <w:r>
              <w:rPr>
                <w:rFonts w:eastAsiaTheme="minorEastAsia"/>
                <w:lang w:eastAsia="en-AU"/>
              </w:rPr>
              <w:tab/>
              <w:t>September 2014-15 comparative figures have been restated to reflect more current information.</w:t>
            </w:r>
          </w:p>
          <w:p w:rsidR="00DB2687" w:rsidRPr="009052F5" w:rsidRDefault="00DB2687" w:rsidP="009052F5">
            <w:pPr>
              <w:pStyle w:val="Notes"/>
              <w:rPr>
                <w:rFonts w:eastAsiaTheme="minorEastAsia"/>
                <w:lang w:eastAsia="en-AU"/>
              </w:rPr>
            </w:pPr>
            <w:r>
              <w:rPr>
                <w:rFonts w:eastAsiaTheme="minorEastAsia"/>
                <w:lang w:eastAsia="en-AU"/>
              </w:rPr>
              <w:t>(b)</w:t>
            </w:r>
            <w:r>
              <w:rPr>
                <w:rFonts w:eastAsiaTheme="minorEastAsia"/>
                <w:lang w:eastAsia="en-AU"/>
              </w:rPr>
              <w:tab/>
            </w:r>
            <w:r>
              <w:rPr>
                <w:rFonts w:eastAsiaTheme="minorEastAsia"/>
                <w:i w:val="0"/>
                <w:lang w:eastAsia="en-AU"/>
              </w:rPr>
              <w:t>2015-16 Budget</w:t>
            </w:r>
            <w:r>
              <w:rPr>
                <w:rFonts w:eastAsiaTheme="minorEastAsia"/>
                <w:lang w:eastAsia="en-AU"/>
              </w:rPr>
              <w:t xml:space="preserve"> figures have been </w:t>
            </w:r>
            <w:r w:rsidRPr="00CA0111">
              <w:rPr>
                <w:rFonts w:eastAsiaTheme="minorEastAsia"/>
                <w:lang w:eastAsia="en-AU"/>
              </w:rPr>
              <w:t>rest</w:t>
            </w:r>
            <w:r>
              <w:rPr>
                <w:rFonts w:eastAsiaTheme="minorEastAsia"/>
                <w:lang w:eastAsia="en-AU"/>
              </w:rPr>
              <w:t>ated to reflect more current information.</w:t>
            </w:r>
          </w:p>
        </w:tc>
      </w:tr>
    </w:tbl>
    <w:p w:rsidR="009052F5" w:rsidRDefault="009052F5" w:rsidP="009052F5">
      <w:pPr>
        <w:pStyle w:val="Heading1"/>
        <w:rPr>
          <w:b w:val="0"/>
          <w:caps w:val="0"/>
        </w:rPr>
      </w:pPr>
    </w:p>
    <w:p w:rsidR="009052F5" w:rsidRDefault="009052F5" w:rsidP="00283E0D">
      <w:pPr>
        <w:rPr>
          <w:rFonts w:ascii="Times New Roman" w:hAnsi="Times New Roman"/>
          <w:sz w:val="20"/>
          <w:lang w:eastAsia="en-AU"/>
        </w:rPr>
      </w:pPr>
    </w:p>
    <w:p w:rsidR="009052F5" w:rsidRDefault="009052F5">
      <w:r>
        <w:rPr>
          <w:b/>
        </w:rPr>
        <w:br w:type="page"/>
      </w:r>
    </w:p>
    <w:p w:rsidR="009A3756" w:rsidRDefault="009A3756" w:rsidP="009A3756">
      <w:pPr>
        <w:pStyle w:val="Heading2"/>
      </w:pPr>
      <w:bookmarkStart w:id="8" w:name="_Toc435107517"/>
      <w:r w:rsidRPr="009A3756">
        <w:lastRenderedPageBreak/>
        <w:t>Consolidated balance s</w:t>
      </w:r>
      <w:r>
        <w:t>heet as at 30 September</w:t>
      </w:r>
      <w:bookmarkEnd w:id="8"/>
    </w:p>
    <w:tbl>
      <w:tblPr>
        <w:tblW w:w="9638" w:type="dxa"/>
        <w:tblInd w:w="28" w:type="dxa"/>
        <w:tblLayout w:type="fixed"/>
        <w:tblCellMar>
          <w:left w:w="28" w:type="dxa"/>
          <w:right w:w="28" w:type="dxa"/>
        </w:tblCellMar>
        <w:tblLook w:val="0000" w:firstRow="0" w:lastRow="0" w:firstColumn="0" w:lastColumn="0" w:noHBand="0" w:noVBand="0"/>
      </w:tblPr>
      <w:tblGrid>
        <w:gridCol w:w="1134"/>
        <w:gridCol w:w="4365"/>
        <w:gridCol w:w="737"/>
        <w:gridCol w:w="1134"/>
        <w:gridCol w:w="1134"/>
        <w:gridCol w:w="1134"/>
      </w:tblGrid>
      <w:tr w:rsidR="00DB2687" w:rsidRPr="009052F5" w:rsidTr="00DB2687">
        <w:trPr>
          <w:cantSplit/>
          <w:tblHeader/>
        </w:trPr>
        <w:tc>
          <w:tcPr>
            <w:tcW w:w="9638" w:type="dxa"/>
            <w:gridSpan w:val="6"/>
            <w:tcBorders>
              <w:top w:val="nil"/>
              <w:left w:val="nil"/>
              <w:bottom w:val="nil"/>
              <w:right w:val="nil"/>
            </w:tcBorders>
          </w:tcPr>
          <w:p w:rsidR="00DB2687" w:rsidRPr="009052F5" w:rsidRDefault="00DB2687" w:rsidP="009052F5">
            <w:pPr>
              <w:pStyle w:val="million"/>
              <w:rPr>
                <w:rFonts w:eastAsiaTheme="minorEastAsia"/>
                <w:lang w:eastAsia="en-AU"/>
              </w:rPr>
            </w:pPr>
            <w:r w:rsidRPr="009052F5">
              <w:rPr>
                <w:rFonts w:eastAsiaTheme="minorEastAsia"/>
                <w:lang w:eastAsia="en-AU"/>
              </w:rPr>
              <w:t>($ million)</w:t>
            </w:r>
          </w:p>
        </w:tc>
      </w:tr>
      <w:tr w:rsidR="00DB2687" w:rsidRPr="009052F5" w:rsidTr="00DB2687">
        <w:trPr>
          <w:cantSplit/>
          <w:tblHeader/>
        </w:trPr>
        <w:tc>
          <w:tcPr>
            <w:tcW w:w="1134" w:type="dxa"/>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2014-15</w:t>
            </w:r>
          </w:p>
        </w:tc>
        <w:tc>
          <w:tcPr>
            <w:tcW w:w="4365" w:type="dxa"/>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r>
      <w:tr w:rsidR="00DB2687" w:rsidRPr="009052F5" w:rsidTr="00DB2687">
        <w:trPr>
          <w:cantSplit/>
          <w:trHeight w:val="537"/>
          <w:tblHeader/>
        </w:trPr>
        <w:tc>
          <w:tcPr>
            <w:tcW w:w="1134" w:type="dxa"/>
            <w:tcBorders>
              <w:top w:val="nil"/>
              <w:left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Actual</w:t>
            </w:r>
          </w:p>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30 Sep</w:t>
            </w:r>
            <w:r w:rsidRPr="009052F5">
              <w:rPr>
                <w:rFonts w:ascii="Calibri" w:eastAsiaTheme="minorEastAsia" w:hAnsi="Calibri" w:cs="Calibri"/>
                <w:i/>
                <w:iCs/>
                <w:color w:val="FFFFFF"/>
                <w:sz w:val="22"/>
                <w:szCs w:val="22"/>
                <w:vertAlign w:val="superscript"/>
                <w:lang w:eastAsia="en-AU"/>
              </w:rPr>
              <w:t>(a)</w:t>
            </w:r>
          </w:p>
        </w:tc>
        <w:tc>
          <w:tcPr>
            <w:tcW w:w="4365" w:type="dxa"/>
            <w:tcBorders>
              <w:top w:val="nil"/>
              <w:left w:val="nil"/>
              <w:right w:val="nil"/>
            </w:tcBorders>
            <w:shd w:val="solid" w:color="000000" w:fill="auto"/>
          </w:tcPr>
          <w:p w:rsidR="00DB2687" w:rsidRPr="009052F5" w:rsidRDefault="00DB2687"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p w:rsidR="00DB2687" w:rsidRPr="009052F5" w:rsidRDefault="00DB2687"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tcBorders>
              <w:top w:val="nil"/>
              <w:left w:val="nil"/>
              <w:right w:val="nil"/>
            </w:tcBorders>
            <w:shd w:val="solid" w:color="000000" w:fill="auto"/>
          </w:tcPr>
          <w:p w:rsidR="00DB2687" w:rsidRPr="009052F5" w:rsidRDefault="00DB2687" w:rsidP="009052F5">
            <w:pPr>
              <w:autoSpaceDE w:val="0"/>
              <w:autoSpaceDN w:val="0"/>
              <w:adjustRightInd w:val="0"/>
              <w:spacing w:after="0"/>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p w:rsidR="00DB2687" w:rsidRPr="009052F5" w:rsidRDefault="00DB2687" w:rsidP="00FC6048">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i/>
                <w:iCs/>
                <w:color w:val="FFFFFF"/>
                <w:sz w:val="22"/>
                <w:szCs w:val="22"/>
                <w:lang w:eastAsia="en-AU"/>
              </w:rPr>
              <w:t>Notes</w:t>
            </w:r>
          </w:p>
        </w:tc>
        <w:tc>
          <w:tcPr>
            <w:tcW w:w="1134" w:type="dxa"/>
            <w:tcBorders>
              <w:top w:val="nil"/>
              <w:left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Opening</w:t>
            </w:r>
          </w:p>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Actual</w:t>
            </w:r>
          </w:p>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30 Sep</w:t>
            </w:r>
          </w:p>
        </w:tc>
        <w:tc>
          <w:tcPr>
            <w:tcW w:w="1134" w:type="dxa"/>
            <w:tcBorders>
              <w:top w:val="nil"/>
              <w:left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Budget</w:t>
            </w:r>
          </w:p>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30 Jun</w:t>
            </w:r>
            <w:r w:rsidRPr="009052F5">
              <w:rPr>
                <w:rFonts w:ascii="Calibri" w:eastAsiaTheme="minorEastAsia" w:hAnsi="Calibri" w:cs="Calibri"/>
                <w:i/>
                <w:iCs/>
                <w:color w:val="FFFFFF"/>
                <w:sz w:val="22"/>
                <w:szCs w:val="22"/>
                <w:vertAlign w:val="superscript"/>
                <w:lang w:eastAsia="en-AU"/>
              </w:rPr>
              <w:t>(b)</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Assets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Financial assets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4 177</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Cash and deposits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4 282</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4 061</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4 479</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4 576</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Advances paid</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4 572</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4 567</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4 525</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5 169</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Receivables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12</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5 555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5 897</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5 404</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3 077</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Investments, loans and placements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3 406</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3 440</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3 513</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44</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Investments accounted for using the equity method</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44</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45</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75 875</w:t>
            </w:r>
          </w:p>
        </w:tc>
        <w:tc>
          <w:tcPr>
            <w:tcW w:w="4365"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Investments in other sector entities</w:t>
            </w:r>
          </w:p>
        </w:tc>
        <w:tc>
          <w:tcPr>
            <w:tcW w:w="737"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82 181</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82 467</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82 432</w:t>
            </w:r>
          </w:p>
        </w:tc>
      </w:tr>
      <w:tr w:rsidR="00DB2687" w:rsidRPr="009052F5" w:rsidTr="00DB2687">
        <w:trPr>
          <w:cantSplit/>
        </w:trPr>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92 918</w:t>
            </w:r>
          </w:p>
        </w:tc>
        <w:tc>
          <w:tcPr>
            <w:tcW w:w="4365"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financial assets</w:t>
            </w:r>
          </w:p>
        </w:tc>
        <w:tc>
          <w:tcPr>
            <w:tcW w:w="737"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100 040</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100 477</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100 397</w:t>
            </w:r>
          </w:p>
        </w:tc>
      </w:tr>
      <w:tr w:rsidR="00DB2687" w:rsidRPr="009052F5" w:rsidTr="00DB2687">
        <w:trPr>
          <w:cantSplit/>
        </w:trPr>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4365"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Non-financial assets</w:t>
            </w:r>
          </w:p>
        </w:tc>
        <w:tc>
          <w:tcPr>
            <w:tcW w:w="737"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154</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Inventories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144</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146</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148</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147</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Non-financial assets held for sale</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175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169</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175</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105 037</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Land, buildings, infrastructure, plant and equipment</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13</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107 586</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107 527</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109 733</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1 384</w:t>
            </w:r>
          </w:p>
        </w:tc>
        <w:tc>
          <w:tcPr>
            <w:tcW w:w="4365"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non-financial assets</w:t>
            </w:r>
          </w:p>
        </w:tc>
        <w:tc>
          <w:tcPr>
            <w:tcW w:w="737"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14</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1 038</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1 215</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977</w:t>
            </w:r>
          </w:p>
        </w:tc>
      </w:tr>
      <w:tr w:rsidR="00DB2687" w:rsidRPr="009052F5" w:rsidTr="00DB2687">
        <w:trPr>
          <w:cantSplit/>
        </w:trPr>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106 721</w:t>
            </w:r>
          </w:p>
        </w:tc>
        <w:tc>
          <w:tcPr>
            <w:tcW w:w="4365"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non-financial assets</w:t>
            </w:r>
          </w:p>
        </w:tc>
        <w:tc>
          <w:tcPr>
            <w:tcW w:w="737"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108 944</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109 057</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111 034</w:t>
            </w:r>
          </w:p>
        </w:tc>
      </w:tr>
      <w:tr w:rsidR="00DB2687" w:rsidRPr="009052F5" w:rsidTr="00DB2687">
        <w:trPr>
          <w:cantSplit/>
        </w:trPr>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199 638</w:t>
            </w:r>
          </w:p>
        </w:tc>
        <w:tc>
          <w:tcPr>
            <w:tcW w:w="4365"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assets</w:t>
            </w:r>
          </w:p>
        </w:tc>
        <w:tc>
          <w:tcPr>
            <w:tcW w:w="737"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15</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208 985</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209 534</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211 431</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Liabilities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454</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Deposits held and advances received </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518</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471</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518</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5 112</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Payables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16</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5 704</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5 355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5 434</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32 847</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Borrowings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34 069</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34 597</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29 986</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5 463</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Employee benefits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17</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5 605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5 675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5 852</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26 181</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Superannuation</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25 947</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27 885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25 003</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598</w:t>
            </w:r>
          </w:p>
        </w:tc>
        <w:tc>
          <w:tcPr>
            <w:tcW w:w="4365"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provisions</w:t>
            </w:r>
          </w:p>
        </w:tc>
        <w:tc>
          <w:tcPr>
            <w:tcW w:w="737"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807</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754</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211</w:t>
            </w:r>
          </w:p>
        </w:tc>
      </w:tr>
      <w:tr w:rsidR="00DB2687" w:rsidRPr="009052F5" w:rsidTr="00DB2687">
        <w:trPr>
          <w:cantSplit/>
        </w:trPr>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70 655</w:t>
            </w:r>
          </w:p>
        </w:tc>
        <w:tc>
          <w:tcPr>
            <w:tcW w:w="4365"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liabilities</w:t>
            </w:r>
          </w:p>
        </w:tc>
        <w:tc>
          <w:tcPr>
            <w:tcW w:w="737"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72 650</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74 738</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67 003</w:t>
            </w:r>
          </w:p>
        </w:tc>
      </w:tr>
      <w:tr w:rsidR="00DB2687" w:rsidRPr="009052F5" w:rsidTr="00DB2687">
        <w:trPr>
          <w:cantSplit/>
        </w:trPr>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128 983</w:t>
            </w:r>
          </w:p>
        </w:tc>
        <w:tc>
          <w:tcPr>
            <w:tcW w:w="4365"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assets</w:t>
            </w:r>
          </w:p>
        </w:tc>
        <w:tc>
          <w:tcPr>
            <w:tcW w:w="737"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136 335</w:t>
            </w:r>
          </w:p>
        </w:tc>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134 796</w:t>
            </w:r>
          </w:p>
        </w:tc>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144 427</w:t>
            </w:r>
          </w:p>
        </w:tc>
      </w:tr>
      <w:tr w:rsidR="00DB2687" w:rsidRPr="009052F5" w:rsidTr="00DB2687">
        <w:trPr>
          <w:cantSplit/>
        </w:trPr>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44 505</w:t>
            </w:r>
          </w:p>
        </w:tc>
        <w:tc>
          <w:tcPr>
            <w:tcW w:w="4365"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Accumulated surplus/(deficit)</w:t>
            </w:r>
          </w:p>
        </w:tc>
        <w:tc>
          <w:tcPr>
            <w:tcW w:w="737"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45 788</w:t>
            </w:r>
          </w:p>
        </w:tc>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44 237</w:t>
            </w:r>
          </w:p>
        </w:tc>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53 112</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84 428</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Reserves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90 496</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90 509</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91 265</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50</w:t>
            </w:r>
          </w:p>
        </w:tc>
        <w:tc>
          <w:tcPr>
            <w:tcW w:w="4365"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Non-controlling interest</w:t>
            </w:r>
          </w:p>
        </w:tc>
        <w:tc>
          <w:tcPr>
            <w:tcW w:w="737"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50</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50</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50</w:t>
            </w:r>
          </w:p>
        </w:tc>
      </w:tr>
      <w:tr w:rsidR="00DB2687" w:rsidRPr="009052F5" w:rsidTr="00DB2687">
        <w:trPr>
          <w:cantSplit/>
        </w:trPr>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128 983</w:t>
            </w:r>
          </w:p>
        </w:tc>
        <w:tc>
          <w:tcPr>
            <w:tcW w:w="4365"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worth</w:t>
            </w:r>
          </w:p>
        </w:tc>
        <w:tc>
          <w:tcPr>
            <w:tcW w:w="737"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136 335</w:t>
            </w:r>
          </w:p>
        </w:tc>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134 796</w:t>
            </w:r>
          </w:p>
        </w:tc>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144 427</w:t>
            </w:r>
          </w:p>
        </w:tc>
      </w:tr>
      <w:tr w:rsidR="00DB2687" w:rsidRPr="009052F5" w:rsidTr="00DB2687">
        <w:trPr>
          <w:cantSplit/>
          <w:trHeight w:hRule="exact" w:val="120"/>
        </w:trPr>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4365"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FISCAL AGGREGATES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22 263</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financial worth</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27 390</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25 739</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33 394</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53 613</w:t>
            </w:r>
          </w:p>
        </w:tc>
        <w:tc>
          <w:tcPr>
            <w:tcW w:w="4365"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financial liabilities</w:t>
            </w:r>
          </w:p>
        </w:tc>
        <w:tc>
          <w:tcPr>
            <w:tcW w:w="737"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54 791</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56 728</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49 038</w:t>
            </w:r>
          </w:p>
        </w:tc>
      </w:tr>
      <w:tr w:rsidR="00DB2687" w:rsidRPr="009052F5" w:rsidTr="00DB2687">
        <w:trPr>
          <w:cantSplit/>
        </w:trPr>
        <w:tc>
          <w:tcPr>
            <w:tcW w:w="1134" w:type="dxa"/>
            <w:tcBorders>
              <w:top w:val="nil"/>
              <w:left w:val="nil"/>
              <w:bottom w:val="single" w:sz="12" w:space="0" w:color="auto"/>
              <w:right w:val="nil"/>
            </w:tcBorders>
            <w:shd w:val="clear" w:color="auto" w:fill="FFFFFF"/>
          </w:tcPr>
          <w:p w:rsidR="00DB2687" w:rsidRPr="00F12DC1" w:rsidRDefault="00DB2687" w:rsidP="009052F5">
            <w:pPr>
              <w:autoSpaceDE w:val="0"/>
              <w:autoSpaceDN w:val="0"/>
              <w:adjustRightInd w:val="0"/>
              <w:spacing w:after="0"/>
              <w:jc w:val="right"/>
              <w:rPr>
                <w:rFonts w:ascii="Calibri" w:eastAsiaTheme="minorEastAsia" w:hAnsi="Calibri" w:cs="Calibri"/>
                <w:bCs/>
                <w:color w:val="000000"/>
                <w:sz w:val="22"/>
                <w:szCs w:val="22"/>
                <w:lang w:eastAsia="en-AU"/>
              </w:rPr>
            </w:pPr>
            <w:r w:rsidRPr="00F12DC1">
              <w:rPr>
                <w:rFonts w:ascii="Calibri" w:eastAsiaTheme="minorEastAsia" w:hAnsi="Calibri" w:cs="Calibri"/>
                <w:bCs/>
                <w:color w:val="000000"/>
                <w:sz w:val="22"/>
                <w:szCs w:val="22"/>
                <w:lang w:eastAsia="en-AU"/>
              </w:rPr>
              <w:t>21 471</w:t>
            </w:r>
          </w:p>
        </w:tc>
        <w:tc>
          <w:tcPr>
            <w:tcW w:w="4365" w:type="dxa"/>
            <w:tcBorders>
              <w:top w:val="nil"/>
              <w:left w:val="nil"/>
              <w:bottom w:val="single" w:sz="12" w:space="0" w:color="auto"/>
              <w:right w:val="nil"/>
            </w:tcBorders>
            <w:shd w:val="clear" w:color="auto" w:fill="FFFFFF"/>
          </w:tcPr>
          <w:p w:rsidR="00DB2687" w:rsidRPr="00F12DC1" w:rsidRDefault="00DB2687" w:rsidP="009052F5">
            <w:pPr>
              <w:autoSpaceDE w:val="0"/>
              <w:autoSpaceDN w:val="0"/>
              <w:adjustRightInd w:val="0"/>
              <w:spacing w:after="0"/>
              <w:ind w:left="340" w:hanging="227"/>
              <w:rPr>
                <w:rFonts w:ascii="Calibri" w:eastAsiaTheme="minorEastAsia" w:hAnsi="Calibri" w:cs="Calibri"/>
                <w:bCs/>
                <w:color w:val="000000"/>
                <w:sz w:val="22"/>
                <w:szCs w:val="22"/>
                <w:lang w:eastAsia="en-AU"/>
              </w:rPr>
            </w:pPr>
            <w:r w:rsidRPr="00F12DC1">
              <w:rPr>
                <w:rFonts w:ascii="Calibri" w:eastAsiaTheme="minorEastAsia" w:hAnsi="Calibri" w:cs="Calibri"/>
                <w:bCs/>
                <w:color w:val="000000"/>
                <w:sz w:val="22"/>
                <w:szCs w:val="22"/>
                <w:lang w:eastAsia="en-AU"/>
              </w:rPr>
              <w:t>Net debt</w:t>
            </w:r>
          </w:p>
        </w:tc>
        <w:tc>
          <w:tcPr>
            <w:tcW w:w="737" w:type="dxa"/>
            <w:tcBorders>
              <w:top w:val="nil"/>
              <w:left w:val="nil"/>
              <w:bottom w:val="single" w:sz="12" w:space="0" w:color="auto"/>
              <w:right w:val="nil"/>
            </w:tcBorders>
            <w:shd w:val="clear" w:color="auto" w:fill="FFFFFF"/>
          </w:tcPr>
          <w:p w:rsidR="00DB2687" w:rsidRPr="00F12DC1" w:rsidRDefault="00DB2687" w:rsidP="009052F5">
            <w:pPr>
              <w:autoSpaceDE w:val="0"/>
              <w:autoSpaceDN w:val="0"/>
              <w:adjustRightInd w:val="0"/>
              <w:spacing w:after="0"/>
              <w:jc w:val="center"/>
              <w:rPr>
                <w:rFonts w:ascii="Calibri" w:eastAsiaTheme="minorEastAsia" w:hAnsi="Calibri" w:cs="Calibri"/>
                <w:bCs/>
                <w:color w:val="000000"/>
                <w:sz w:val="22"/>
                <w:szCs w:val="22"/>
                <w:lang w:eastAsia="en-AU"/>
              </w:rPr>
            </w:pPr>
            <w:r w:rsidRPr="00F12DC1">
              <w:rPr>
                <w:rFonts w:ascii="Calibri" w:eastAsiaTheme="minorEastAsia" w:hAnsi="Calibri" w:cs="Calibri"/>
                <w:bCs/>
                <w:color w:val="000000"/>
                <w:sz w:val="22"/>
                <w:szCs w:val="22"/>
                <w:lang w:eastAsia="en-AU"/>
              </w:rPr>
              <w:t xml:space="preserve"> </w:t>
            </w:r>
          </w:p>
        </w:tc>
        <w:tc>
          <w:tcPr>
            <w:tcW w:w="1134" w:type="dxa"/>
            <w:tcBorders>
              <w:top w:val="nil"/>
              <w:left w:val="nil"/>
              <w:bottom w:val="single" w:sz="12" w:space="0" w:color="auto"/>
              <w:right w:val="nil"/>
            </w:tcBorders>
            <w:shd w:val="clear" w:color="auto" w:fill="FFFFFF"/>
          </w:tcPr>
          <w:p w:rsidR="00DB2687" w:rsidRPr="00F12DC1" w:rsidRDefault="00DB2687" w:rsidP="009052F5">
            <w:pPr>
              <w:autoSpaceDE w:val="0"/>
              <w:autoSpaceDN w:val="0"/>
              <w:adjustRightInd w:val="0"/>
              <w:spacing w:after="0"/>
              <w:jc w:val="right"/>
              <w:rPr>
                <w:rFonts w:ascii="Calibri" w:eastAsiaTheme="minorEastAsia" w:hAnsi="Calibri" w:cs="Calibri"/>
                <w:bCs/>
                <w:color w:val="000000"/>
                <w:sz w:val="22"/>
                <w:szCs w:val="22"/>
                <w:lang w:eastAsia="en-AU"/>
              </w:rPr>
            </w:pPr>
            <w:r w:rsidRPr="00F12DC1">
              <w:rPr>
                <w:rFonts w:ascii="Calibri" w:eastAsiaTheme="minorEastAsia" w:hAnsi="Calibri" w:cs="Calibri"/>
                <w:bCs/>
                <w:color w:val="000000"/>
                <w:sz w:val="22"/>
                <w:szCs w:val="22"/>
                <w:lang w:eastAsia="en-AU"/>
              </w:rPr>
              <w:t>22 327</w:t>
            </w:r>
          </w:p>
        </w:tc>
        <w:tc>
          <w:tcPr>
            <w:tcW w:w="1134" w:type="dxa"/>
            <w:tcBorders>
              <w:top w:val="nil"/>
              <w:left w:val="nil"/>
              <w:bottom w:val="single" w:sz="12" w:space="0" w:color="auto"/>
              <w:right w:val="nil"/>
            </w:tcBorders>
            <w:shd w:val="clear" w:color="auto" w:fill="FFFFFF"/>
          </w:tcPr>
          <w:p w:rsidR="00DB2687" w:rsidRPr="00F12DC1" w:rsidRDefault="00DB2687" w:rsidP="009052F5">
            <w:pPr>
              <w:autoSpaceDE w:val="0"/>
              <w:autoSpaceDN w:val="0"/>
              <w:adjustRightInd w:val="0"/>
              <w:spacing w:after="0"/>
              <w:jc w:val="right"/>
              <w:rPr>
                <w:rFonts w:ascii="Calibri" w:eastAsiaTheme="minorEastAsia" w:hAnsi="Calibri" w:cs="Calibri"/>
                <w:bCs/>
                <w:color w:val="000000"/>
                <w:sz w:val="22"/>
                <w:szCs w:val="22"/>
                <w:lang w:eastAsia="en-AU"/>
              </w:rPr>
            </w:pPr>
            <w:r w:rsidRPr="00F12DC1">
              <w:rPr>
                <w:rFonts w:ascii="Calibri" w:eastAsiaTheme="minorEastAsia" w:hAnsi="Calibri" w:cs="Calibri"/>
                <w:bCs/>
                <w:color w:val="000000"/>
                <w:sz w:val="22"/>
                <w:szCs w:val="22"/>
                <w:lang w:eastAsia="en-AU"/>
              </w:rPr>
              <w:t>23 000</w:t>
            </w:r>
          </w:p>
        </w:tc>
        <w:tc>
          <w:tcPr>
            <w:tcW w:w="1134" w:type="dxa"/>
            <w:tcBorders>
              <w:top w:val="nil"/>
              <w:left w:val="nil"/>
              <w:bottom w:val="single" w:sz="12" w:space="0" w:color="auto"/>
              <w:right w:val="nil"/>
            </w:tcBorders>
            <w:shd w:val="clear" w:color="auto" w:fill="FFFFFF"/>
          </w:tcPr>
          <w:p w:rsidR="00DB2687" w:rsidRPr="00F12DC1" w:rsidRDefault="00DB2687" w:rsidP="009052F5">
            <w:pPr>
              <w:autoSpaceDE w:val="0"/>
              <w:autoSpaceDN w:val="0"/>
              <w:adjustRightInd w:val="0"/>
              <w:spacing w:after="0"/>
              <w:jc w:val="right"/>
              <w:rPr>
                <w:rFonts w:ascii="Calibri" w:eastAsiaTheme="minorEastAsia" w:hAnsi="Calibri" w:cs="Calibri"/>
                <w:bCs/>
                <w:color w:val="000000"/>
                <w:sz w:val="22"/>
                <w:szCs w:val="22"/>
                <w:lang w:eastAsia="en-AU"/>
              </w:rPr>
            </w:pPr>
            <w:r w:rsidRPr="00F12DC1">
              <w:rPr>
                <w:rFonts w:ascii="Calibri" w:eastAsiaTheme="minorEastAsia" w:hAnsi="Calibri" w:cs="Calibri"/>
                <w:bCs/>
                <w:color w:val="000000"/>
                <w:sz w:val="22"/>
                <w:szCs w:val="22"/>
                <w:lang w:eastAsia="en-AU"/>
              </w:rPr>
              <w:t>17 986</w:t>
            </w:r>
          </w:p>
        </w:tc>
      </w:tr>
      <w:tr w:rsidR="00DB2687" w:rsidRPr="009052F5" w:rsidTr="00DB2687">
        <w:trPr>
          <w:cantSplit/>
        </w:trPr>
        <w:tc>
          <w:tcPr>
            <w:tcW w:w="9638" w:type="dxa"/>
            <w:gridSpan w:val="6"/>
            <w:tcBorders>
              <w:top w:val="single" w:sz="12" w:space="0" w:color="auto"/>
              <w:left w:val="nil"/>
              <w:bottom w:val="nil"/>
              <w:right w:val="nil"/>
            </w:tcBorders>
            <w:shd w:val="clear" w:color="auto" w:fill="auto"/>
          </w:tcPr>
          <w:p w:rsidR="00DB2687" w:rsidRDefault="00DB2687" w:rsidP="00B566C6">
            <w:pPr>
              <w:pStyle w:val="Notes"/>
              <w:rPr>
                <w:rFonts w:eastAsiaTheme="minorEastAsia"/>
                <w:lang w:eastAsia="en-AU"/>
              </w:rPr>
            </w:pPr>
            <w:r>
              <w:rPr>
                <w:rFonts w:eastAsiaTheme="minorEastAsia"/>
                <w:lang w:eastAsia="en-AU"/>
              </w:rPr>
              <w:t>The accompanying notes form part of these financial statements.</w:t>
            </w:r>
          </w:p>
          <w:p w:rsidR="00DB2687" w:rsidRDefault="00DB2687" w:rsidP="009052F5">
            <w:pPr>
              <w:pStyle w:val="Notes"/>
              <w:rPr>
                <w:rFonts w:eastAsiaTheme="minorEastAsia"/>
                <w:lang w:eastAsia="en-AU"/>
              </w:rPr>
            </w:pPr>
          </w:p>
          <w:p w:rsidR="00DB2687" w:rsidRPr="009052F5" w:rsidRDefault="00DB2687" w:rsidP="009052F5">
            <w:pPr>
              <w:pStyle w:val="Notes"/>
              <w:rPr>
                <w:rFonts w:eastAsiaTheme="minorEastAsia"/>
                <w:lang w:eastAsia="en-AU"/>
              </w:rPr>
            </w:pPr>
            <w:r w:rsidRPr="009052F5">
              <w:rPr>
                <w:rFonts w:eastAsiaTheme="minorEastAsia"/>
                <w:lang w:eastAsia="en-AU"/>
              </w:rPr>
              <w:t>Notes:</w:t>
            </w:r>
          </w:p>
        </w:tc>
      </w:tr>
      <w:tr w:rsidR="00DB2687" w:rsidRPr="009052F5" w:rsidTr="00DB2687">
        <w:trPr>
          <w:cantSplit/>
        </w:trPr>
        <w:tc>
          <w:tcPr>
            <w:tcW w:w="9638" w:type="dxa"/>
            <w:gridSpan w:val="6"/>
            <w:tcBorders>
              <w:top w:val="nil"/>
              <w:left w:val="nil"/>
              <w:bottom w:val="nil"/>
              <w:right w:val="nil"/>
            </w:tcBorders>
          </w:tcPr>
          <w:p w:rsidR="00DB2687" w:rsidRPr="009052F5" w:rsidRDefault="00DB2687" w:rsidP="00B566C6">
            <w:pPr>
              <w:pStyle w:val="Notes"/>
              <w:rPr>
                <w:rFonts w:eastAsiaTheme="minorEastAsia"/>
                <w:lang w:eastAsia="en-AU"/>
              </w:rPr>
            </w:pPr>
            <w:r>
              <w:rPr>
                <w:rFonts w:eastAsiaTheme="minorEastAsia"/>
                <w:lang w:eastAsia="en-AU"/>
              </w:rPr>
              <w:t>(a)</w:t>
            </w:r>
            <w:r>
              <w:rPr>
                <w:rFonts w:eastAsiaTheme="minorEastAsia"/>
                <w:lang w:eastAsia="en-AU"/>
              </w:rPr>
              <w:tab/>
              <w:t>September 2014-15 comparative figures have been restated to reflect more current information.</w:t>
            </w:r>
          </w:p>
        </w:tc>
      </w:tr>
      <w:tr w:rsidR="00DB2687" w:rsidRPr="009052F5" w:rsidTr="00DB2687">
        <w:trPr>
          <w:cantSplit/>
        </w:trPr>
        <w:tc>
          <w:tcPr>
            <w:tcW w:w="9638" w:type="dxa"/>
            <w:gridSpan w:val="6"/>
            <w:tcBorders>
              <w:top w:val="nil"/>
              <w:left w:val="nil"/>
              <w:bottom w:val="nil"/>
              <w:right w:val="nil"/>
            </w:tcBorders>
          </w:tcPr>
          <w:p w:rsidR="00DB2687" w:rsidRPr="009052F5" w:rsidRDefault="00DB2687" w:rsidP="009052F5">
            <w:pPr>
              <w:pStyle w:val="Notes"/>
              <w:rPr>
                <w:rFonts w:eastAsiaTheme="minorEastAsia"/>
                <w:lang w:eastAsia="en-AU"/>
              </w:rPr>
            </w:pPr>
            <w:r>
              <w:rPr>
                <w:rFonts w:eastAsiaTheme="minorEastAsia"/>
                <w:lang w:eastAsia="en-AU"/>
              </w:rPr>
              <w:t>(b)</w:t>
            </w:r>
            <w:r>
              <w:rPr>
                <w:rFonts w:eastAsiaTheme="minorEastAsia"/>
                <w:lang w:eastAsia="en-AU"/>
              </w:rPr>
              <w:tab/>
              <w:t>Balances represent actual opening balances at 1 July 2015 plus 2015-16 budgeted movements.</w:t>
            </w:r>
          </w:p>
        </w:tc>
      </w:tr>
    </w:tbl>
    <w:p w:rsidR="00283E0D" w:rsidRDefault="00283E0D" w:rsidP="00283E0D"/>
    <w:p w:rsidR="009052F5" w:rsidRDefault="009052F5" w:rsidP="00283E0D">
      <w:pPr>
        <w:rPr>
          <w:rFonts w:ascii="Times New Roman" w:hAnsi="Times New Roman"/>
          <w:sz w:val="20"/>
          <w:lang w:eastAsia="en-AU"/>
        </w:rPr>
      </w:pPr>
    </w:p>
    <w:p w:rsidR="009052F5" w:rsidRDefault="009052F5">
      <w:r>
        <w:rPr>
          <w:b/>
        </w:rPr>
        <w:br w:type="page"/>
      </w:r>
    </w:p>
    <w:p w:rsidR="009A3756" w:rsidRDefault="009A3756" w:rsidP="009A3756">
      <w:pPr>
        <w:pStyle w:val="Heading2"/>
      </w:pPr>
      <w:bookmarkStart w:id="9" w:name="_Toc435107518"/>
      <w:r w:rsidRPr="009A3756">
        <w:lastRenderedPageBreak/>
        <w:t xml:space="preserve">Consolidated cash flow statement for the </w:t>
      </w:r>
      <w:r>
        <w:t>period ended 30 September</w:t>
      </w:r>
      <w:bookmarkEnd w:id="9"/>
    </w:p>
    <w:tbl>
      <w:tblPr>
        <w:tblW w:w="9638" w:type="dxa"/>
        <w:tblInd w:w="28" w:type="dxa"/>
        <w:tblLayout w:type="fixed"/>
        <w:tblCellMar>
          <w:left w:w="28" w:type="dxa"/>
          <w:right w:w="28" w:type="dxa"/>
        </w:tblCellMar>
        <w:tblLook w:val="0000" w:firstRow="0" w:lastRow="0" w:firstColumn="0" w:lastColumn="0" w:noHBand="0" w:noVBand="0"/>
      </w:tblPr>
      <w:tblGrid>
        <w:gridCol w:w="1134"/>
        <w:gridCol w:w="5499"/>
        <w:gridCol w:w="313"/>
        <w:gridCol w:w="424"/>
        <w:gridCol w:w="1134"/>
        <w:gridCol w:w="1134"/>
      </w:tblGrid>
      <w:tr w:rsidR="00DB2687" w:rsidRPr="009052F5" w:rsidTr="00DB2687">
        <w:trPr>
          <w:cantSplit/>
          <w:tblHeader/>
        </w:trPr>
        <w:tc>
          <w:tcPr>
            <w:tcW w:w="9638" w:type="dxa"/>
            <w:gridSpan w:val="6"/>
            <w:tcBorders>
              <w:top w:val="nil"/>
              <w:left w:val="nil"/>
              <w:bottom w:val="nil"/>
              <w:right w:val="nil"/>
            </w:tcBorders>
          </w:tcPr>
          <w:p w:rsidR="00DB2687" w:rsidRPr="009052F5" w:rsidRDefault="00DB2687" w:rsidP="009052F5">
            <w:pPr>
              <w:pStyle w:val="million"/>
              <w:rPr>
                <w:rFonts w:eastAsiaTheme="minorEastAsia"/>
                <w:lang w:eastAsia="en-AU"/>
              </w:rPr>
            </w:pPr>
            <w:r w:rsidRPr="009052F5">
              <w:rPr>
                <w:rFonts w:eastAsiaTheme="minorEastAsia"/>
                <w:lang w:eastAsia="en-AU"/>
              </w:rPr>
              <w:t>($ million)</w:t>
            </w:r>
          </w:p>
        </w:tc>
      </w:tr>
      <w:tr w:rsidR="00DB2687" w:rsidRPr="009052F5" w:rsidTr="00DB2687">
        <w:trPr>
          <w:cantSplit/>
          <w:tblHeader/>
        </w:trPr>
        <w:tc>
          <w:tcPr>
            <w:tcW w:w="1134" w:type="dxa"/>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2014-15 </w:t>
            </w:r>
          </w:p>
        </w:tc>
        <w:tc>
          <w:tcPr>
            <w:tcW w:w="5499" w:type="dxa"/>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gridSpan w:val="2"/>
            <w:tcBorders>
              <w:top w:val="nil"/>
              <w:left w:val="nil"/>
              <w:bottom w:val="nil"/>
              <w:right w:val="nil"/>
            </w:tcBorders>
            <w:shd w:val="solid" w:color="000000" w:fill="auto"/>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2268" w:type="dxa"/>
            <w:gridSpan w:val="2"/>
            <w:tcBorders>
              <w:top w:val="nil"/>
              <w:left w:val="nil"/>
              <w:bottom w:val="nil"/>
              <w:right w:val="nil"/>
            </w:tcBorders>
            <w:shd w:val="solid" w:color="000000" w:fill="auto"/>
          </w:tcPr>
          <w:p w:rsidR="00DB2687" w:rsidRPr="009052F5" w:rsidRDefault="00DB2687" w:rsidP="001F4CCB">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2015-16</w:t>
            </w:r>
          </w:p>
        </w:tc>
      </w:tr>
      <w:tr w:rsidR="00DB2687" w:rsidRPr="009052F5" w:rsidTr="00DB2687">
        <w:trPr>
          <w:cantSplit/>
          <w:trHeight w:val="537"/>
          <w:tblHeader/>
        </w:trPr>
        <w:tc>
          <w:tcPr>
            <w:tcW w:w="1134" w:type="dxa"/>
            <w:tcBorders>
              <w:top w:val="nil"/>
              <w:left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Actual </w:t>
            </w:r>
          </w:p>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to Sep</w:t>
            </w:r>
          </w:p>
        </w:tc>
        <w:tc>
          <w:tcPr>
            <w:tcW w:w="5499" w:type="dxa"/>
            <w:tcBorders>
              <w:top w:val="nil"/>
              <w:left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gridSpan w:val="2"/>
            <w:tcBorders>
              <w:top w:val="nil"/>
              <w:left w:val="nil"/>
              <w:right w:val="nil"/>
            </w:tcBorders>
            <w:shd w:val="solid" w:color="000000" w:fill="auto"/>
          </w:tcPr>
          <w:p w:rsidR="00DB2687" w:rsidRPr="009052F5" w:rsidRDefault="00DB2687" w:rsidP="009052F5">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 </w:t>
            </w:r>
          </w:p>
          <w:p w:rsidR="00DB2687" w:rsidRPr="009052F5" w:rsidRDefault="00DB2687" w:rsidP="009052F5">
            <w:pPr>
              <w:autoSpaceDE w:val="0"/>
              <w:autoSpaceDN w:val="0"/>
              <w:adjustRightInd w:val="0"/>
              <w:spacing w:after="0"/>
              <w:jc w:val="center"/>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 Notes</w:t>
            </w:r>
          </w:p>
        </w:tc>
        <w:tc>
          <w:tcPr>
            <w:tcW w:w="1134" w:type="dxa"/>
            <w:tcBorders>
              <w:top w:val="nil"/>
              <w:left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Actual </w:t>
            </w:r>
          </w:p>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 xml:space="preserve">Annual </w:t>
            </w:r>
          </w:p>
          <w:p w:rsidR="00DB2687" w:rsidRPr="009052F5" w:rsidRDefault="00DB2687" w:rsidP="009052F5">
            <w:pPr>
              <w:autoSpaceDE w:val="0"/>
              <w:autoSpaceDN w:val="0"/>
              <w:adjustRightInd w:val="0"/>
              <w:spacing w:after="0"/>
              <w:jc w:val="right"/>
              <w:rPr>
                <w:rFonts w:ascii="Calibri" w:eastAsiaTheme="minorEastAsia" w:hAnsi="Calibri" w:cs="Calibri"/>
                <w:i/>
                <w:iCs/>
                <w:color w:val="FFFFFF"/>
                <w:sz w:val="22"/>
                <w:szCs w:val="22"/>
                <w:lang w:eastAsia="en-AU"/>
              </w:rPr>
            </w:pPr>
            <w:r w:rsidRPr="009052F5">
              <w:rPr>
                <w:rFonts w:ascii="Calibri" w:eastAsiaTheme="minorEastAsia" w:hAnsi="Calibri" w:cs="Calibri"/>
                <w:i/>
                <w:iCs/>
                <w:color w:val="FFFFFF"/>
                <w:sz w:val="22"/>
                <w:szCs w:val="22"/>
                <w:lang w:eastAsia="en-AU"/>
              </w:rPr>
              <w:t>budget</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Cash flows from operating activities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Receipts </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4 586</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Taxes received</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4 887</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19 007</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5 664</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Grants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6 008</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25 668</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1 805</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9052F5">
              <w:rPr>
                <w:rFonts w:ascii="Calibri" w:eastAsiaTheme="minorEastAsia" w:hAnsi="Calibri" w:cs="Calibri"/>
                <w:color w:val="000000"/>
                <w:sz w:val="22"/>
                <w:szCs w:val="22"/>
                <w:lang w:eastAsia="en-AU"/>
              </w:rPr>
              <w:t>Sales of goods and services</w:t>
            </w:r>
            <w:r w:rsidRPr="009052F5">
              <w:rPr>
                <w:rFonts w:ascii="Calibri" w:eastAsiaTheme="minorEastAsia" w:hAnsi="Calibri" w:cs="Calibri"/>
                <w:color w:val="000000"/>
                <w:sz w:val="22"/>
                <w:szCs w:val="22"/>
                <w:vertAlign w:val="superscript"/>
                <w:lang w:eastAsia="en-AU"/>
              </w:rPr>
              <w:t>(a)</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1 782</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7 531</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194</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Interest received </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193</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812</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57</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Dividends and income tax equivalent and rate equivalent receipts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49</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1 143</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412</w:t>
            </w:r>
          </w:p>
        </w:tc>
        <w:tc>
          <w:tcPr>
            <w:tcW w:w="5499"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receipts</w:t>
            </w:r>
          </w:p>
        </w:tc>
        <w:tc>
          <w:tcPr>
            <w:tcW w:w="737" w:type="dxa"/>
            <w:gridSpan w:val="2"/>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439</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1 741</w:t>
            </w:r>
          </w:p>
        </w:tc>
      </w:tr>
      <w:tr w:rsidR="00DB2687" w:rsidRPr="009052F5" w:rsidTr="00DB2687">
        <w:trPr>
          <w:cantSplit/>
        </w:trPr>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12 718</w:t>
            </w:r>
          </w:p>
        </w:tc>
        <w:tc>
          <w:tcPr>
            <w:tcW w:w="5499"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receipts</w:t>
            </w:r>
          </w:p>
        </w:tc>
        <w:tc>
          <w:tcPr>
            <w:tcW w:w="737" w:type="dxa"/>
            <w:gridSpan w:val="2"/>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13 359</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55 904</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Payments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(4 313)</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Payments for employees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(4 730)</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(19 657)</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(692)</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Superannuation</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(773)</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(2 969)</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(510)</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Interest paid</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(531)</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(2 059)</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(2 180)</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Grants and subsidies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(2 185)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(8 748)</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(4 515)</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9052F5">
              <w:rPr>
                <w:rFonts w:ascii="Calibri" w:eastAsiaTheme="minorEastAsia" w:hAnsi="Calibri" w:cs="Calibri"/>
                <w:color w:val="000000"/>
                <w:sz w:val="22"/>
                <w:szCs w:val="22"/>
                <w:lang w:eastAsia="en-AU"/>
              </w:rPr>
              <w:t>Goods and services</w:t>
            </w:r>
            <w:r w:rsidRPr="009052F5">
              <w:rPr>
                <w:rFonts w:ascii="Calibri" w:eastAsiaTheme="minorEastAsia" w:hAnsi="Calibri" w:cs="Calibri"/>
                <w:color w:val="000000"/>
                <w:sz w:val="22"/>
                <w:szCs w:val="22"/>
                <w:vertAlign w:val="superscript"/>
                <w:lang w:eastAsia="en-AU"/>
              </w:rPr>
              <w:t>(a)</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(4 666)</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 xml:space="preserve"> (18 056</w:t>
            </w:r>
            <w:r w:rsidRPr="009052F5">
              <w:rPr>
                <w:rFonts w:ascii="Calibri" w:eastAsiaTheme="minorEastAsia" w:hAnsi="Calibri" w:cs="Calibri"/>
                <w:color w:val="000000"/>
                <w:sz w:val="22"/>
                <w:szCs w:val="22"/>
                <w:lang w:eastAsia="en-AU"/>
              </w:rPr>
              <w:t>)</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(176)</w:t>
            </w:r>
          </w:p>
        </w:tc>
        <w:tc>
          <w:tcPr>
            <w:tcW w:w="5499"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Other payments</w:t>
            </w:r>
          </w:p>
        </w:tc>
        <w:tc>
          <w:tcPr>
            <w:tcW w:w="737" w:type="dxa"/>
            <w:gridSpan w:val="2"/>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(194)</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(661)</w:t>
            </w:r>
          </w:p>
        </w:tc>
      </w:tr>
      <w:tr w:rsidR="00DB2687" w:rsidRPr="009052F5" w:rsidTr="00DB2687">
        <w:trPr>
          <w:cantSplit/>
        </w:trPr>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(12 386)</w:t>
            </w:r>
          </w:p>
        </w:tc>
        <w:tc>
          <w:tcPr>
            <w:tcW w:w="5499"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Total payments</w:t>
            </w:r>
          </w:p>
        </w:tc>
        <w:tc>
          <w:tcPr>
            <w:tcW w:w="737" w:type="dxa"/>
            <w:gridSpan w:val="2"/>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(13 078)</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 xml:space="preserve"> (52 149</w:t>
            </w:r>
            <w:r w:rsidRPr="009052F5">
              <w:rPr>
                <w:rFonts w:ascii="Calibri" w:eastAsiaTheme="minorEastAsia" w:hAnsi="Calibri" w:cs="Calibri"/>
                <w:b/>
                <w:bCs/>
                <w:color w:val="000000"/>
                <w:sz w:val="22"/>
                <w:szCs w:val="22"/>
                <w:lang w:eastAsia="en-AU"/>
              </w:rPr>
              <w:t>)</w:t>
            </w:r>
          </w:p>
        </w:tc>
      </w:tr>
      <w:tr w:rsidR="00DB2687" w:rsidRPr="009052F5" w:rsidTr="00DB2687">
        <w:trPr>
          <w:cantSplit/>
        </w:trPr>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332</w:t>
            </w:r>
          </w:p>
        </w:tc>
        <w:tc>
          <w:tcPr>
            <w:tcW w:w="5499"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cash flows from operating activities</w:t>
            </w:r>
          </w:p>
        </w:tc>
        <w:tc>
          <w:tcPr>
            <w:tcW w:w="737" w:type="dxa"/>
            <w:gridSpan w:val="2"/>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18b</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280</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3 755</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Cash flows from investing activities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(887)</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Purchases of non-financial assets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15</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(948)</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(4 552)</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36</w:t>
            </w:r>
          </w:p>
        </w:tc>
        <w:tc>
          <w:tcPr>
            <w:tcW w:w="5499"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Sales of non-financial assets</w:t>
            </w:r>
          </w:p>
        </w:tc>
        <w:tc>
          <w:tcPr>
            <w:tcW w:w="737" w:type="dxa"/>
            <w:gridSpan w:val="2"/>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22</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322</w:t>
            </w:r>
          </w:p>
        </w:tc>
      </w:tr>
      <w:tr w:rsidR="00DB2687" w:rsidRPr="009052F5" w:rsidTr="00DB2687">
        <w:trPr>
          <w:cantSplit/>
        </w:trPr>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(851)</w:t>
            </w:r>
          </w:p>
        </w:tc>
        <w:tc>
          <w:tcPr>
            <w:tcW w:w="5499"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Cash flows from investments in non-financial assets</w:t>
            </w:r>
          </w:p>
        </w:tc>
        <w:tc>
          <w:tcPr>
            <w:tcW w:w="737" w:type="dxa"/>
            <w:gridSpan w:val="2"/>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(926)</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(4 230)</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208</w:t>
            </w:r>
          </w:p>
        </w:tc>
        <w:tc>
          <w:tcPr>
            <w:tcW w:w="5499"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cash flows from investments in financial assets for policy purposes</w:t>
            </w:r>
          </w:p>
        </w:tc>
        <w:tc>
          <w:tcPr>
            <w:tcW w:w="737" w:type="dxa"/>
            <w:gridSpan w:val="2"/>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18</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6 511</w:t>
            </w:r>
          </w:p>
        </w:tc>
      </w:tr>
      <w:tr w:rsidR="00DB2687" w:rsidRPr="009052F5" w:rsidTr="00DB2687">
        <w:trPr>
          <w:cantSplit/>
        </w:trPr>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(643)</w:t>
            </w:r>
          </w:p>
        </w:tc>
        <w:tc>
          <w:tcPr>
            <w:tcW w:w="5499"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Sub-total</w:t>
            </w:r>
          </w:p>
        </w:tc>
        <w:tc>
          <w:tcPr>
            <w:tcW w:w="737" w:type="dxa"/>
            <w:gridSpan w:val="2"/>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(908)</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 xml:space="preserve"> 2 281</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(14)</w:t>
            </w:r>
          </w:p>
        </w:tc>
        <w:tc>
          <w:tcPr>
            <w:tcW w:w="5499"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cash flows from investments in financial assets for liquidity management purposes</w:t>
            </w:r>
          </w:p>
        </w:tc>
        <w:tc>
          <w:tcPr>
            <w:tcW w:w="737" w:type="dxa"/>
            <w:gridSpan w:val="2"/>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(74)</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(83)</w:t>
            </w:r>
          </w:p>
        </w:tc>
      </w:tr>
      <w:tr w:rsidR="00DB2687" w:rsidRPr="009052F5" w:rsidTr="00DB2687">
        <w:trPr>
          <w:cantSplit/>
        </w:trPr>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(657)</w:t>
            </w:r>
          </w:p>
        </w:tc>
        <w:tc>
          <w:tcPr>
            <w:tcW w:w="5499"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cash flows from investing activities</w:t>
            </w:r>
          </w:p>
        </w:tc>
        <w:tc>
          <w:tcPr>
            <w:tcW w:w="737" w:type="dxa"/>
            <w:gridSpan w:val="2"/>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(982)</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2 199</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Cash flows from financing activities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Advances received (net)</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(108)</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borrowings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528</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 xml:space="preserve"> (5 756</w:t>
            </w:r>
            <w:r w:rsidRPr="009052F5">
              <w:rPr>
                <w:rFonts w:ascii="Calibri" w:eastAsiaTheme="minorEastAsia" w:hAnsi="Calibri" w:cs="Calibri"/>
                <w:color w:val="000000"/>
                <w:sz w:val="22"/>
                <w:szCs w:val="22"/>
                <w:lang w:eastAsia="en-AU"/>
              </w:rPr>
              <w:t>)</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28</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Deposits received (net)</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(47)</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r>
      <w:tr w:rsidR="00DB2687" w:rsidRPr="009052F5" w:rsidTr="00DB2687">
        <w:trPr>
          <w:cantSplit/>
        </w:trPr>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(81)</w:t>
            </w:r>
          </w:p>
        </w:tc>
        <w:tc>
          <w:tcPr>
            <w:tcW w:w="5499"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Net cash flows from financing activities</w:t>
            </w:r>
          </w:p>
        </w:tc>
        <w:tc>
          <w:tcPr>
            <w:tcW w:w="737" w:type="dxa"/>
            <w:gridSpan w:val="2"/>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481</w:t>
            </w:r>
          </w:p>
        </w:tc>
        <w:tc>
          <w:tcPr>
            <w:tcW w:w="1134" w:type="dxa"/>
            <w:tcBorders>
              <w:top w:val="single" w:sz="6" w:space="0" w:color="000000"/>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 xml:space="preserve"> (5 756</w:t>
            </w:r>
            <w:r w:rsidRPr="009052F5">
              <w:rPr>
                <w:rFonts w:ascii="Calibri" w:eastAsiaTheme="minorEastAsia" w:hAnsi="Calibri" w:cs="Calibri"/>
                <w:b/>
                <w:bCs/>
                <w:color w:val="000000"/>
                <w:sz w:val="22"/>
                <w:szCs w:val="22"/>
                <w:lang w:eastAsia="en-AU"/>
              </w:rPr>
              <w:t>)</w:t>
            </w:r>
          </w:p>
        </w:tc>
      </w:tr>
      <w:tr w:rsidR="00DB2687" w:rsidRPr="009052F5" w:rsidTr="00DB2687">
        <w:trPr>
          <w:cantSplit/>
        </w:trPr>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(405)</w:t>
            </w:r>
          </w:p>
        </w:tc>
        <w:tc>
          <w:tcPr>
            <w:tcW w:w="5499"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Net increase/(decrease) in cash and cash equivalents </w:t>
            </w:r>
          </w:p>
        </w:tc>
        <w:tc>
          <w:tcPr>
            <w:tcW w:w="737" w:type="dxa"/>
            <w:gridSpan w:val="2"/>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(220)</w:t>
            </w:r>
          </w:p>
        </w:tc>
        <w:tc>
          <w:tcPr>
            <w:tcW w:w="1134" w:type="dxa"/>
            <w:tcBorders>
              <w:top w:val="single" w:sz="6" w:space="0" w:color="000000"/>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198</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4 582</w:t>
            </w:r>
          </w:p>
        </w:tc>
        <w:tc>
          <w:tcPr>
            <w:tcW w:w="5812" w:type="dxa"/>
            <w:gridSpan w:val="2"/>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9052F5">
              <w:rPr>
                <w:rFonts w:ascii="Calibri" w:eastAsiaTheme="minorEastAsia" w:hAnsi="Calibri" w:cs="Calibri"/>
                <w:color w:val="000000"/>
                <w:sz w:val="22"/>
                <w:szCs w:val="22"/>
                <w:lang w:eastAsia="en-AU"/>
              </w:rPr>
              <w:t>Cash and cash equivalents at beginning of reporting period</w:t>
            </w:r>
            <w:r w:rsidRPr="009052F5">
              <w:rPr>
                <w:rFonts w:ascii="Calibri" w:eastAsiaTheme="minorEastAsia" w:hAnsi="Calibri" w:cs="Calibri"/>
                <w:color w:val="000000"/>
                <w:sz w:val="22"/>
                <w:szCs w:val="22"/>
                <w:vertAlign w:val="superscript"/>
                <w:lang w:eastAsia="en-AU"/>
              </w:rPr>
              <w:t>(b)</w:t>
            </w:r>
          </w:p>
        </w:tc>
        <w:tc>
          <w:tcPr>
            <w:tcW w:w="42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4 282</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4 282</w:t>
            </w:r>
          </w:p>
        </w:tc>
      </w:tr>
      <w:tr w:rsidR="00DB2687" w:rsidRPr="009052F5" w:rsidTr="00DB2687">
        <w:trPr>
          <w:cantSplit/>
        </w:trPr>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4 177</w:t>
            </w:r>
          </w:p>
        </w:tc>
        <w:tc>
          <w:tcPr>
            <w:tcW w:w="5499"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9052F5">
              <w:rPr>
                <w:rFonts w:ascii="Calibri" w:eastAsiaTheme="minorEastAsia" w:hAnsi="Calibri" w:cs="Calibri"/>
                <w:b/>
                <w:bCs/>
                <w:color w:val="000000"/>
                <w:sz w:val="22"/>
                <w:szCs w:val="22"/>
                <w:lang w:eastAsia="en-AU"/>
              </w:rPr>
              <w:t>Cash and cash equivalents at end of the reporting period</w:t>
            </w:r>
            <w:r w:rsidRPr="009052F5">
              <w:rPr>
                <w:rFonts w:ascii="Calibri" w:eastAsiaTheme="minorEastAsia" w:hAnsi="Calibri" w:cs="Calibri"/>
                <w:b/>
                <w:bCs/>
                <w:color w:val="000000"/>
                <w:sz w:val="22"/>
                <w:szCs w:val="22"/>
                <w:vertAlign w:val="superscript"/>
                <w:lang w:eastAsia="en-AU"/>
              </w:rPr>
              <w:t>(b)</w:t>
            </w:r>
          </w:p>
        </w:tc>
        <w:tc>
          <w:tcPr>
            <w:tcW w:w="737" w:type="dxa"/>
            <w:gridSpan w:val="2"/>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18a</w:t>
            </w:r>
          </w:p>
        </w:tc>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4 061</w:t>
            </w:r>
          </w:p>
        </w:tc>
        <w:tc>
          <w:tcPr>
            <w:tcW w:w="1134" w:type="dxa"/>
            <w:tcBorders>
              <w:top w:val="single" w:sz="6" w:space="0" w:color="000000"/>
              <w:left w:val="nil"/>
              <w:bottom w:val="single" w:sz="12"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4 479</w:t>
            </w:r>
          </w:p>
        </w:tc>
      </w:tr>
      <w:tr w:rsidR="00DB2687" w:rsidRPr="009052F5" w:rsidTr="00DB2687">
        <w:trPr>
          <w:cantSplit/>
          <w:trHeight w:hRule="exact" w:val="120"/>
        </w:trPr>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5499"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ind w:left="340" w:hanging="227"/>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737" w:type="dxa"/>
            <w:gridSpan w:val="2"/>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FISCAL AGGREGATES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r>
      <w:tr w:rsidR="00DB2687" w:rsidRPr="009052F5" w:rsidTr="00DB2687">
        <w:trPr>
          <w:cantSplit/>
        </w:trPr>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332</w:t>
            </w:r>
          </w:p>
        </w:tc>
        <w:tc>
          <w:tcPr>
            <w:tcW w:w="5499" w:type="dxa"/>
            <w:tcBorders>
              <w:top w:val="nil"/>
              <w:left w:val="nil"/>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cash flows from operating activities</w:t>
            </w:r>
          </w:p>
        </w:tc>
        <w:tc>
          <w:tcPr>
            <w:tcW w:w="737" w:type="dxa"/>
            <w:gridSpan w:val="2"/>
            <w:tcBorders>
              <w:top w:val="nil"/>
              <w:left w:val="nil"/>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280</w:t>
            </w:r>
          </w:p>
        </w:tc>
        <w:tc>
          <w:tcPr>
            <w:tcW w:w="1134" w:type="dxa"/>
            <w:tcBorders>
              <w:top w:val="nil"/>
              <w:left w:val="nil"/>
              <w:right w:val="nil"/>
            </w:tcBorders>
            <w:shd w:val="clear" w:color="auto" w:fill="FFFFFF"/>
          </w:tcPr>
          <w:p w:rsidR="00DB2687" w:rsidRPr="009052F5" w:rsidRDefault="00DB2687" w:rsidP="007241FD">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3 755</w:t>
            </w:r>
          </w:p>
        </w:tc>
      </w:tr>
      <w:tr w:rsidR="00DB2687" w:rsidRPr="009052F5" w:rsidTr="00DB2687">
        <w:trPr>
          <w:cantSplit/>
        </w:trPr>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(851)</w:t>
            </w:r>
          </w:p>
        </w:tc>
        <w:tc>
          <w:tcPr>
            <w:tcW w:w="5499"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Net cash flows from investments in non-financial assets</w:t>
            </w:r>
          </w:p>
        </w:tc>
        <w:tc>
          <w:tcPr>
            <w:tcW w:w="737" w:type="dxa"/>
            <w:gridSpan w:val="2"/>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(926)</w:t>
            </w:r>
          </w:p>
        </w:tc>
        <w:tc>
          <w:tcPr>
            <w:tcW w:w="1134" w:type="dxa"/>
            <w:tcBorders>
              <w:top w:val="nil"/>
              <w:left w:val="nil"/>
              <w:bottom w:val="single" w:sz="6" w:space="0" w:color="000000"/>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color w:val="000000"/>
                <w:sz w:val="22"/>
                <w:szCs w:val="22"/>
                <w:lang w:eastAsia="en-AU"/>
              </w:rPr>
            </w:pPr>
            <w:r w:rsidRPr="009052F5">
              <w:rPr>
                <w:rFonts w:ascii="Calibri" w:eastAsiaTheme="minorEastAsia" w:hAnsi="Calibri" w:cs="Calibri"/>
                <w:color w:val="000000"/>
                <w:sz w:val="22"/>
                <w:szCs w:val="22"/>
                <w:lang w:eastAsia="en-AU"/>
              </w:rPr>
              <w:t xml:space="preserve"> (4 230)</w:t>
            </w:r>
          </w:p>
        </w:tc>
      </w:tr>
      <w:tr w:rsidR="00DB2687" w:rsidRPr="009052F5" w:rsidTr="00DB2687">
        <w:trPr>
          <w:cantSplit/>
        </w:trPr>
        <w:tc>
          <w:tcPr>
            <w:tcW w:w="1134"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(519)</w:t>
            </w:r>
          </w:p>
        </w:tc>
        <w:tc>
          <w:tcPr>
            <w:tcW w:w="5499"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Cash surplus/(deficit)</w:t>
            </w:r>
          </w:p>
        </w:tc>
        <w:tc>
          <w:tcPr>
            <w:tcW w:w="737" w:type="dxa"/>
            <w:gridSpan w:val="2"/>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jc w:val="center"/>
              <w:rPr>
                <w:rFonts w:ascii="Calibri" w:eastAsiaTheme="minorEastAsia" w:hAnsi="Calibri" w:cs="Calibri"/>
                <w:b/>
                <w:bCs/>
                <w:color w:val="000000"/>
                <w:sz w:val="22"/>
                <w:szCs w:val="22"/>
                <w:lang w:eastAsia="en-AU"/>
              </w:rPr>
            </w:pPr>
            <w:r w:rsidRPr="009052F5">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(646)</w:t>
            </w:r>
          </w:p>
        </w:tc>
        <w:tc>
          <w:tcPr>
            <w:tcW w:w="1134" w:type="dxa"/>
            <w:tcBorders>
              <w:top w:val="single" w:sz="6" w:space="0" w:color="000000"/>
              <w:left w:val="nil"/>
              <w:bottom w:val="single" w:sz="12" w:space="0" w:color="auto"/>
              <w:right w:val="nil"/>
            </w:tcBorders>
            <w:shd w:val="clear" w:color="auto" w:fill="FFFFFF"/>
          </w:tcPr>
          <w:p w:rsidR="00DB2687" w:rsidRPr="009052F5" w:rsidRDefault="00DB2687" w:rsidP="009052F5">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 xml:space="preserve"> (475</w:t>
            </w:r>
            <w:r w:rsidRPr="009052F5">
              <w:rPr>
                <w:rFonts w:ascii="Calibri" w:eastAsiaTheme="minorEastAsia" w:hAnsi="Calibri" w:cs="Calibri"/>
                <w:b/>
                <w:bCs/>
                <w:color w:val="000000"/>
                <w:sz w:val="22"/>
                <w:szCs w:val="22"/>
                <w:lang w:eastAsia="en-AU"/>
              </w:rPr>
              <w:t>)</w:t>
            </w:r>
          </w:p>
        </w:tc>
      </w:tr>
      <w:tr w:rsidR="00DB2687" w:rsidRPr="009052F5" w:rsidTr="00DB2687">
        <w:trPr>
          <w:cantSplit/>
        </w:trPr>
        <w:tc>
          <w:tcPr>
            <w:tcW w:w="9638" w:type="dxa"/>
            <w:gridSpan w:val="6"/>
            <w:tcBorders>
              <w:top w:val="single" w:sz="12" w:space="0" w:color="auto"/>
              <w:left w:val="nil"/>
              <w:bottom w:val="nil"/>
              <w:right w:val="nil"/>
            </w:tcBorders>
            <w:shd w:val="clear" w:color="auto" w:fill="auto"/>
          </w:tcPr>
          <w:p w:rsidR="00DB2687" w:rsidRDefault="00DB2687" w:rsidP="00B566C6">
            <w:pPr>
              <w:pStyle w:val="Notes"/>
              <w:rPr>
                <w:rFonts w:eastAsiaTheme="minorEastAsia"/>
                <w:lang w:eastAsia="en-AU"/>
              </w:rPr>
            </w:pPr>
            <w:r>
              <w:rPr>
                <w:rFonts w:eastAsiaTheme="minorEastAsia"/>
                <w:lang w:eastAsia="en-AU"/>
              </w:rPr>
              <w:t>The accompanying notes form part of these financial statements.</w:t>
            </w:r>
          </w:p>
          <w:p w:rsidR="00DB2687" w:rsidRDefault="00DB2687" w:rsidP="009052F5">
            <w:pPr>
              <w:pStyle w:val="Notes"/>
              <w:rPr>
                <w:rFonts w:eastAsiaTheme="minorEastAsia"/>
                <w:lang w:eastAsia="en-AU"/>
              </w:rPr>
            </w:pPr>
          </w:p>
          <w:p w:rsidR="00DB2687" w:rsidRPr="009052F5" w:rsidRDefault="00DB2687" w:rsidP="009052F5">
            <w:pPr>
              <w:pStyle w:val="Notes"/>
              <w:rPr>
                <w:rFonts w:eastAsiaTheme="minorEastAsia"/>
                <w:lang w:eastAsia="en-AU"/>
              </w:rPr>
            </w:pPr>
            <w:r w:rsidRPr="009052F5">
              <w:rPr>
                <w:rFonts w:eastAsiaTheme="minorEastAsia"/>
                <w:lang w:eastAsia="en-AU"/>
              </w:rPr>
              <w:t>Notes:</w:t>
            </w:r>
          </w:p>
        </w:tc>
      </w:tr>
      <w:tr w:rsidR="00DB2687" w:rsidRPr="009052F5" w:rsidTr="00DB2687">
        <w:trPr>
          <w:cantSplit/>
        </w:trPr>
        <w:tc>
          <w:tcPr>
            <w:tcW w:w="9638" w:type="dxa"/>
            <w:gridSpan w:val="6"/>
            <w:tcBorders>
              <w:top w:val="nil"/>
              <w:left w:val="nil"/>
              <w:bottom w:val="nil"/>
              <w:right w:val="nil"/>
            </w:tcBorders>
          </w:tcPr>
          <w:p w:rsidR="00DB2687" w:rsidRPr="009052F5" w:rsidRDefault="00DB2687" w:rsidP="009052F5">
            <w:pPr>
              <w:pStyle w:val="Notes"/>
              <w:rPr>
                <w:rFonts w:eastAsiaTheme="minorEastAsia"/>
                <w:lang w:eastAsia="en-AU"/>
              </w:rPr>
            </w:pPr>
            <w:r>
              <w:rPr>
                <w:rFonts w:eastAsiaTheme="minorEastAsia"/>
                <w:lang w:eastAsia="en-AU"/>
              </w:rPr>
              <w:t>(a)</w:t>
            </w:r>
            <w:r>
              <w:rPr>
                <w:rFonts w:eastAsiaTheme="minorEastAsia"/>
                <w:lang w:eastAsia="en-AU"/>
              </w:rPr>
              <w:tab/>
              <w:t>These items are inclusive of goods and services tax.</w:t>
            </w:r>
          </w:p>
        </w:tc>
      </w:tr>
      <w:tr w:rsidR="00DB2687" w:rsidRPr="009052F5" w:rsidTr="00DB2687">
        <w:trPr>
          <w:cantSplit/>
        </w:trPr>
        <w:tc>
          <w:tcPr>
            <w:tcW w:w="9638" w:type="dxa"/>
            <w:gridSpan w:val="6"/>
            <w:tcBorders>
              <w:top w:val="nil"/>
              <w:left w:val="nil"/>
              <w:bottom w:val="nil"/>
              <w:right w:val="nil"/>
            </w:tcBorders>
          </w:tcPr>
          <w:p w:rsidR="00DB2687" w:rsidRPr="009052F5" w:rsidRDefault="00DB2687" w:rsidP="009052F5">
            <w:pPr>
              <w:pStyle w:val="Notes"/>
              <w:rPr>
                <w:rFonts w:eastAsiaTheme="minorEastAsia"/>
                <w:lang w:eastAsia="en-AU"/>
              </w:rPr>
            </w:pPr>
            <w:r>
              <w:rPr>
                <w:rFonts w:eastAsiaTheme="minorEastAsia"/>
                <w:lang w:eastAsia="en-AU"/>
              </w:rPr>
              <w:t>(b)</w:t>
            </w:r>
            <w:r>
              <w:rPr>
                <w:rFonts w:eastAsiaTheme="minorEastAsia"/>
                <w:lang w:eastAsia="en-AU"/>
              </w:rPr>
              <w:tab/>
              <w:t>September 2014-15 comparative figures have been restated to reflect more current information.</w:t>
            </w:r>
          </w:p>
        </w:tc>
      </w:tr>
    </w:tbl>
    <w:p w:rsidR="00376DFB" w:rsidRDefault="00376DFB" w:rsidP="00283E0D">
      <w:pPr>
        <w:sectPr w:rsidR="00376DFB" w:rsidSect="009C433E">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1152" w:right="1152" w:bottom="1152" w:left="1152" w:header="720" w:footer="720" w:gutter="0"/>
          <w:pgNumType w:start="1"/>
          <w:cols w:space="708"/>
          <w:docGrid w:linePitch="360"/>
        </w:sectPr>
      </w:pPr>
    </w:p>
    <w:p w:rsidR="00376DFB" w:rsidRDefault="00D05873" w:rsidP="00D05873">
      <w:pPr>
        <w:pStyle w:val="Heading2"/>
        <w:spacing w:before="0"/>
        <w:rPr>
          <w:rFonts w:ascii="Times New Roman" w:hAnsi="Times New Roman"/>
          <w:sz w:val="20"/>
          <w:lang w:eastAsia="en-AU"/>
        </w:rPr>
      </w:pPr>
      <w:bookmarkStart w:id="10" w:name="_Toc435107519"/>
      <w:r w:rsidRPr="00376DFB">
        <w:rPr>
          <w:rFonts w:eastAsiaTheme="minorEastAsia"/>
          <w:lang w:eastAsia="en-AU"/>
        </w:rPr>
        <w:lastRenderedPageBreak/>
        <w:t>Consolidated statement of changes in equity for the period end</w:t>
      </w:r>
      <w:r>
        <w:rPr>
          <w:rFonts w:eastAsiaTheme="minorEastAsia"/>
          <w:lang w:eastAsia="en-AU"/>
        </w:rPr>
        <w:t>ing</w:t>
      </w:r>
      <w:r w:rsidRPr="00376DFB">
        <w:rPr>
          <w:rFonts w:eastAsiaTheme="minorEastAsia"/>
          <w:lang w:eastAsia="en-AU"/>
        </w:rPr>
        <w:t xml:space="preserve"> 30 September</w:t>
      </w:r>
      <w:bookmarkEnd w:id="10"/>
    </w:p>
    <w:tbl>
      <w:tblPr>
        <w:tblW w:w="14570" w:type="dxa"/>
        <w:tblInd w:w="28" w:type="dxa"/>
        <w:tblLayout w:type="fixed"/>
        <w:tblCellMar>
          <w:left w:w="28" w:type="dxa"/>
          <w:right w:w="28" w:type="dxa"/>
        </w:tblCellMar>
        <w:tblLook w:val="0000" w:firstRow="0" w:lastRow="0" w:firstColumn="0" w:lastColumn="0" w:noHBand="0" w:noVBand="0"/>
      </w:tblPr>
      <w:tblGrid>
        <w:gridCol w:w="4253"/>
        <w:gridCol w:w="1719"/>
        <w:gridCol w:w="1825"/>
        <w:gridCol w:w="2409"/>
        <w:gridCol w:w="2127"/>
        <w:gridCol w:w="1134"/>
        <w:gridCol w:w="1103"/>
      </w:tblGrid>
      <w:tr w:rsidR="00DB2687" w:rsidRPr="00376DFB" w:rsidTr="00DB2687">
        <w:trPr>
          <w:cantSplit/>
          <w:tblHeader/>
        </w:trPr>
        <w:tc>
          <w:tcPr>
            <w:tcW w:w="14570" w:type="dxa"/>
            <w:gridSpan w:val="7"/>
            <w:tcBorders>
              <w:top w:val="nil"/>
              <w:left w:val="nil"/>
              <w:bottom w:val="nil"/>
              <w:right w:val="nil"/>
            </w:tcBorders>
          </w:tcPr>
          <w:p w:rsidR="00DB2687" w:rsidRPr="00376DFB" w:rsidRDefault="00DB2687" w:rsidP="00376DFB">
            <w:pPr>
              <w:pStyle w:val="million"/>
              <w:rPr>
                <w:rFonts w:eastAsiaTheme="minorEastAsia"/>
                <w:lang w:eastAsia="en-AU"/>
              </w:rPr>
            </w:pPr>
            <w:r w:rsidRPr="00376DFB">
              <w:rPr>
                <w:rFonts w:eastAsiaTheme="minorEastAsia"/>
                <w:lang w:eastAsia="en-AU"/>
              </w:rPr>
              <w:t>($ million)</w:t>
            </w:r>
          </w:p>
        </w:tc>
      </w:tr>
      <w:tr w:rsidR="00DB2687" w:rsidRPr="00376DFB" w:rsidTr="00DB2687">
        <w:trPr>
          <w:cantSplit/>
          <w:tblHeader/>
        </w:trPr>
        <w:tc>
          <w:tcPr>
            <w:tcW w:w="4253" w:type="dxa"/>
            <w:tcBorders>
              <w:top w:val="single" w:sz="6" w:space="0" w:color="auto"/>
              <w:left w:val="single" w:sz="6" w:space="0" w:color="auto"/>
              <w:bottom w:val="single" w:sz="6" w:space="0" w:color="auto"/>
              <w:right w:val="nil"/>
            </w:tcBorders>
            <w:shd w:val="solid" w:color="000000" w:fill="auto"/>
          </w:tcPr>
          <w:p w:rsidR="00DB2687" w:rsidRPr="00376DFB" w:rsidRDefault="00DB2687" w:rsidP="00376DFB">
            <w:pPr>
              <w:autoSpaceDE w:val="0"/>
              <w:autoSpaceDN w:val="0"/>
              <w:adjustRightInd w:val="0"/>
              <w:spacing w:after="0"/>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 xml:space="preserve"> </w:t>
            </w:r>
          </w:p>
        </w:tc>
        <w:tc>
          <w:tcPr>
            <w:tcW w:w="1719" w:type="dxa"/>
            <w:tcBorders>
              <w:top w:val="single" w:sz="6" w:space="0" w:color="auto"/>
              <w:left w:val="nil"/>
              <w:bottom w:val="single" w:sz="6" w:space="0" w:color="auto"/>
              <w:right w:val="nil"/>
            </w:tcBorders>
            <w:shd w:val="solid" w:color="000000" w:fill="auto"/>
          </w:tcPr>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Accumulated surplus/(deficit)</w:t>
            </w:r>
          </w:p>
        </w:tc>
        <w:tc>
          <w:tcPr>
            <w:tcW w:w="1825" w:type="dxa"/>
            <w:tcBorders>
              <w:top w:val="single" w:sz="6" w:space="0" w:color="auto"/>
              <w:left w:val="nil"/>
              <w:bottom w:val="single" w:sz="6" w:space="0" w:color="auto"/>
              <w:right w:val="nil"/>
            </w:tcBorders>
            <w:shd w:val="solid" w:color="000000" w:fill="auto"/>
          </w:tcPr>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Non-controlling interest</w:t>
            </w:r>
          </w:p>
        </w:tc>
        <w:tc>
          <w:tcPr>
            <w:tcW w:w="2409" w:type="dxa"/>
            <w:tcBorders>
              <w:top w:val="single" w:sz="6" w:space="0" w:color="auto"/>
              <w:left w:val="nil"/>
              <w:bottom w:val="single" w:sz="6" w:space="0" w:color="auto"/>
              <w:right w:val="nil"/>
            </w:tcBorders>
            <w:shd w:val="solid" w:color="000000" w:fill="auto"/>
          </w:tcPr>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Non-financial assets</w:t>
            </w:r>
          </w:p>
          <w:p w:rsidR="00DB2687" w:rsidRPr="00186227" w:rsidRDefault="00DB2687" w:rsidP="00376DFB">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376DFB">
              <w:rPr>
                <w:rFonts w:ascii="Calibri" w:eastAsiaTheme="minorEastAsia" w:hAnsi="Calibri" w:cs="Calibri"/>
                <w:i/>
                <w:iCs/>
                <w:color w:val="FFFFFF"/>
                <w:sz w:val="22"/>
                <w:szCs w:val="22"/>
                <w:lang w:eastAsia="en-AU"/>
              </w:rPr>
              <w:t xml:space="preserve"> revaluation surplus</w:t>
            </w:r>
            <w:r>
              <w:rPr>
                <w:rFonts w:ascii="Calibri" w:eastAsiaTheme="minorEastAsia" w:hAnsi="Calibri" w:cs="Calibri"/>
                <w:i/>
                <w:iCs/>
                <w:color w:val="FFFFFF"/>
                <w:sz w:val="22"/>
                <w:szCs w:val="22"/>
                <w:vertAlign w:val="superscript"/>
                <w:lang w:eastAsia="en-AU"/>
              </w:rPr>
              <w:t>(a)</w:t>
            </w:r>
          </w:p>
        </w:tc>
        <w:tc>
          <w:tcPr>
            <w:tcW w:w="2127" w:type="dxa"/>
            <w:tcBorders>
              <w:top w:val="single" w:sz="6" w:space="0" w:color="auto"/>
              <w:left w:val="nil"/>
              <w:bottom w:val="single" w:sz="6" w:space="0" w:color="auto"/>
              <w:right w:val="nil"/>
            </w:tcBorders>
            <w:shd w:val="solid" w:color="000000" w:fill="auto"/>
          </w:tcPr>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 xml:space="preserve">Investment in other </w:t>
            </w: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 xml:space="preserve">sector entities </w:t>
            </w: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revaluation surplus</w:t>
            </w:r>
          </w:p>
        </w:tc>
        <w:tc>
          <w:tcPr>
            <w:tcW w:w="1134" w:type="dxa"/>
            <w:tcBorders>
              <w:top w:val="single" w:sz="6" w:space="0" w:color="auto"/>
              <w:left w:val="nil"/>
              <w:bottom w:val="single" w:sz="6" w:space="0" w:color="auto"/>
              <w:right w:val="nil"/>
            </w:tcBorders>
            <w:shd w:val="solid" w:color="000000" w:fill="auto"/>
          </w:tcPr>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 xml:space="preserve">Other </w:t>
            </w: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reserves</w:t>
            </w:r>
          </w:p>
        </w:tc>
        <w:tc>
          <w:tcPr>
            <w:tcW w:w="1103" w:type="dxa"/>
            <w:tcBorders>
              <w:top w:val="single" w:sz="6" w:space="0" w:color="auto"/>
              <w:left w:val="nil"/>
              <w:bottom w:val="single" w:sz="6" w:space="0" w:color="auto"/>
              <w:right w:val="single" w:sz="6" w:space="0" w:color="auto"/>
            </w:tcBorders>
            <w:shd w:val="solid" w:color="000000" w:fill="auto"/>
          </w:tcPr>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p>
          <w:p w:rsidR="00DB2687" w:rsidRPr="00376DFB" w:rsidRDefault="00DB2687" w:rsidP="00376DFB">
            <w:pPr>
              <w:autoSpaceDE w:val="0"/>
              <w:autoSpaceDN w:val="0"/>
              <w:adjustRightInd w:val="0"/>
              <w:spacing w:after="0"/>
              <w:jc w:val="right"/>
              <w:rPr>
                <w:rFonts w:ascii="Calibri" w:eastAsiaTheme="minorEastAsia" w:hAnsi="Calibri" w:cs="Calibri"/>
                <w:i/>
                <w:iCs/>
                <w:color w:val="FFFFFF"/>
                <w:sz w:val="22"/>
                <w:szCs w:val="22"/>
                <w:lang w:eastAsia="en-AU"/>
              </w:rPr>
            </w:pPr>
            <w:r w:rsidRPr="00376DFB">
              <w:rPr>
                <w:rFonts w:ascii="Calibri" w:eastAsiaTheme="minorEastAsia" w:hAnsi="Calibri" w:cs="Calibri"/>
                <w:i/>
                <w:iCs/>
                <w:color w:val="FFFFFF"/>
                <w:sz w:val="22"/>
                <w:szCs w:val="22"/>
                <w:lang w:eastAsia="en-AU"/>
              </w:rPr>
              <w:t>Total</w:t>
            </w:r>
          </w:p>
        </w:tc>
      </w:tr>
      <w:tr w:rsidR="00DB2687" w:rsidRPr="00376DFB" w:rsidTr="00DB2687">
        <w:trPr>
          <w:cantSplit/>
        </w:trPr>
        <w:tc>
          <w:tcPr>
            <w:tcW w:w="4253"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2015-16</w:t>
            </w:r>
          </w:p>
        </w:tc>
        <w:tc>
          <w:tcPr>
            <w:tcW w:w="1719"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1825"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2409"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2127"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1134"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1103"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r>
      <w:tr w:rsidR="00DB2687" w:rsidRPr="00376DFB" w:rsidTr="00DB2687">
        <w:trPr>
          <w:cantSplit/>
        </w:trPr>
        <w:tc>
          <w:tcPr>
            <w:tcW w:w="4253" w:type="dxa"/>
            <w:tcBorders>
              <w:top w:val="nil"/>
              <w:left w:val="nil"/>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Balance at 1 July 2015</w:t>
            </w:r>
          </w:p>
        </w:tc>
        <w:tc>
          <w:tcPr>
            <w:tcW w:w="171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45 788</w:t>
            </w:r>
          </w:p>
        </w:tc>
        <w:tc>
          <w:tcPr>
            <w:tcW w:w="1825"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50</w:t>
            </w:r>
          </w:p>
        </w:tc>
        <w:tc>
          <w:tcPr>
            <w:tcW w:w="240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43 355</w:t>
            </w:r>
          </w:p>
        </w:tc>
        <w:tc>
          <w:tcPr>
            <w:tcW w:w="2127"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46 413</w:t>
            </w:r>
          </w:p>
        </w:tc>
        <w:tc>
          <w:tcPr>
            <w:tcW w:w="1134"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728</w:t>
            </w:r>
          </w:p>
        </w:tc>
        <w:tc>
          <w:tcPr>
            <w:tcW w:w="1103"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136 335</w:t>
            </w:r>
          </w:p>
        </w:tc>
      </w:tr>
      <w:tr w:rsidR="00DB2687" w:rsidRPr="00376DFB" w:rsidTr="00DB2687">
        <w:trPr>
          <w:cantSplit/>
        </w:trPr>
        <w:tc>
          <w:tcPr>
            <w:tcW w:w="4253" w:type="dxa"/>
            <w:tcBorders>
              <w:top w:val="nil"/>
              <w:left w:val="nil"/>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Net result for the quarter</w:t>
            </w:r>
          </w:p>
        </w:tc>
        <w:tc>
          <w:tcPr>
            <w:tcW w:w="171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353</w:t>
            </w:r>
          </w:p>
        </w:tc>
        <w:tc>
          <w:tcPr>
            <w:tcW w:w="1825"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240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2127"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1103"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353</w:t>
            </w:r>
          </w:p>
        </w:tc>
      </w:tr>
      <w:tr w:rsidR="00DB2687" w:rsidRPr="00376DFB" w:rsidTr="00DB2687">
        <w:trPr>
          <w:cantSplit/>
        </w:trPr>
        <w:tc>
          <w:tcPr>
            <w:tcW w:w="4253" w:type="dxa"/>
            <w:tcBorders>
              <w:top w:val="nil"/>
              <w:left w:val="nil"/>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Other comprehensive income for the year</w:t>
            </w:r>
          </w:p>
        </w:tc>
        <w:tc>
          <w:tcPr>
            <w:tcW w:w="171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(1 916)</w:t>
            </w:r>
          </w:p>
        </w:tc>
        <w:tc>
          <w:tcPr>
            <w:tcW w:w="1825"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240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32</w:t>
            </w:r>
          </w:p>
        </w:tc>
        <w:tc>
          <w:tcPr>
            <w:tcW w:w="2127"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(20)</w:t>
            </w:r>
          </w:p>
        </w:tc>
        <w:tc>
          <w:tcPr>
            <w:tcW w:w="1103"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(1 903)</w:t>
            </w:r>
          </w:p>
        </w:tc>
      </w:tr>
      <w:tr w:rsidR="00DB2687" w:rsidRPr="00376DFB" w:rsidTr="00DB2687">
        <w:trPr>
          <w:cantSplit/>
        </w:trPr>
        <w:tc>
          <w:tcPr>
            <w:tcW w:w="4253" w:type="dxa"/>
            <w:tcBorders>
              <w:top w:val="nil"/>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Transfer to accumulated surplus</w:t>
            </w:r>
          </w:p>
        </w:tc>
        <w:tc>
          <w:tcPr>
            <w:tcW w:w="1719" w:type="dxa"/>
            <w:tcBorders>
              <w:top w:val="nil"/>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11</w:t>
            </w:r>
          </w:p>
        </w:tc>
        <w:tc>
          <w:tcPr>
            <w:tcW w:w="1825" w:type="dxa"/>
            <w:tcBorders>
              <w:top w:val="nil"/>
              <w:left w:val="nil"/>
              <w:bottom w:val="single" w:sz="6" w:space="0" w:color="auto"/>
              <w:right w:val="nil"/>
            </w:tcBorders>
            <w:shd w:val="clear" w:color="auto" w:fill="FFFFFF"/>
          </w:tcPr>
          <w:p w:rsidR="00DB2687" w:rsidRPr="00376DFB" w:rsidRDefault="00DB2687" w:rsidP="00F12DC1">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w:t>
            </w:r>
          </w:p>
        </w:tc>
        <w:tc>
          <w:tcPr>
            <w:tcW w:w="2409" w:type="dxa"/>
            <w:tcBorders>
              <w:top w:val="nil"/>
              <w:left w:val="nil"/>
              <w:bottom w:val="single" w:sz="6" w:space="0" w:color="auto"/>
              <w:right w:val="nil"/>
            </w:tcBorders>
            <w:shd w:val="clear" w:color="auto" w:fill="FFFFFF"/>
          </w:tcPr>
          <w:p w:rsidR="00DB2687" w:rsidRPr="00376DFB" w:rsidRDefault="00DB2687" w:rsidP="00F12DC1">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w:t>
            </w:r>
            <w:r>
              <w:rPr>
                <w:rFonts w:ascii="Calibri" w:eastAsiaTheme="minorEastAsia" w:hAnsi="Calibri" w:cs="Calibri"/>
                <w:color w:val="000000"/>
                <w:sz w:val="22"/>
                <w:szCs w:val="22"/>
                <w:lang w:eastAsia="en-AU"/>
              </w:rPr>
              <w:t>1</w:t>
            </w:r>
          </w:p>
        </w:tc>
        <w:tc>
          <w:tcPr>
            <w:tcW w:w="2127" w:type="dxa"/>
            <w:tcBorders>
              <w:top w:val="nil"/>
              <w:left w:val="nil"/>
              <w:bottom w:val="single" w:sz="6" w:space="0" w:color="auto"/>
              <w:right w:val="nil"/>
            </w:tcBorders>
            <w:shd w:val="clear" w:color="auto" w:fill="FFFFFF"/>
          </w:tcPr>
          <w:p w:rsidR="00DB2687" w:rsidRPr="00376DFB" w:rsidRDefault="00DB2687" w:rsidP="00F21AC8">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auto"/>
              <w:right w:val="nil"/>
            </w:tcBorders>
            <w:shd w:val="clear" w:color="auto" w:fill="FFFFFF"/>
          </w:tcPr>
          <w:p w:rsidR="00DB2687" w:rsidRPr="00376DFB" w:rsidRDefault="00DB2687" w:rsidP="0017705A">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w:t>
            </w:r>
          </w:p>
        </w:tc>
        <w:tc>
          <w:tcPr>
            <w:tcW w:w="1103" w:type="dxa"/>
            <w:tcBorders>
              <w:top w:val="nil"/>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12</w:t>
            </w:r>
          </w:p>
        </w:tc>
      </w:tr>
      <w:tr w:rsidR="00DB2687" w:rsidRPr="00376DFB" w:rsidTr="00DB2687">
        <w:trPr>
          <w:cantSplit/>
        </w:trPr>
        <w:tc>
          <w:tcPr>
            <w:tcW w:w="4253"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Total equity as at 30 September 2015</w:t>
            </w:r>
          </w:p>
        </w:tc>
        <w:tc>
          <w:tcPr>
            <w:tcW w:w="1719"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44 237</w:t>
            </w:r>
          </w:p>
        </w:tc>
        <w:tc>
          <w:tcPr>
            <w:tcW w:w="1825"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50</w:t>
            </w:r>
          </w:p>
        </w:tc>
        <w:tc>
          <w:tcPr>
            <w:tcW w:w="2409"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43 387</w:t>
            </w:r>
          </w:p>
        </w:tc>
        <w:tc>
          <w:tcPr>
            <w:tcW w:w="2127"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46 413</w:t>
            </w:r>
          </w:p>
        </w:tc>
        <w:tc>
          <w:tcPr>
            <w:tcW w:w="1134"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708</w:t>
            </w:r>
          </w:p>
        </w:tc>
        <w:tc>
          <w:tcPr>
            <w:tcW w:w="1103"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134 796</w:t>
            </w:r>
          </w:p>
        </w:tc>
      </w:tr>
      <w:tr w:rsidR="00DB2687" w:rsidRPr="00376DFB" w:rsidTr="00DB2687">
        <w:trPr>
          <w:cantSplit/>
        </w:trPr>
        <w:tc>
          <w:tcPr>
            <w:tcW w:w="4253" w:type="dxa"/>
            <w:tcBorders>
              <w:top w:val="single" w:sz="6" w:space="0" w:color="auto"/>
              <w:left w:val="nil"/>
              <w:bottom w:val="single" w:sz="6" w:space="0" w:color="auto"/>
              <w:right w:val="nil"/>
            </w:tcBorders>
            <w:shd w:val="clear" w:color="auto" w:fill="FFFFFF"/>
          </w:tcPr>
          <w:p w:rsidR="00DB2687" w:rsidRPr="00376DFB" w:rsidRDefault="00DB2687" w:rsidP="0018622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Budget equity as at 30 June 2016</w:t>
            </w:r>
            <w:r w:rsidRPr="003477DF">
              <w:rPr>
                <w:rFonts w:ascii="Calibri" w:eastAsiaTheme="minorEastAsia" w:hAnsi="Calibri" w:cs="Calibri"/>
                <w:b/>
                <w:bCs/>
                <w:color w:val="000000"/>
                <w:sz w:val="22"/>
                <w:szCs w:val="22"/>
                <w:vertAlign w:val="superscript"/>
                <w:lang w:eastAsia="en-AU"/>
              </w:rPr>
              <w:t>(</w:t>
            </w:r>
            <w:r>
              <w:rPr>
                <w:rFonts w:ascii="Calibri" w:eastAsiaTheme="minorEastAsia" w:hAnsi="Calibri" w:cs="Calibri"/>
                <w:b/>
                <w:bCs/>
                <w:color w:val="000000"/>
                <w:sz w:val="22"/>
                <w:szCs w:val="22"/>
                <w:vertAlign w:val="superscript"/>
                <w:lang w:eastAsia="en-AU"/>
              </w:rPr>
              <w:t>b</w:t>
            </w:r>
            <w:r w:rsidRPr="003477DF">
              <w:rPr>
                <w:rFonts w:ascii="Calibri" w:eastAsiaTheme="minorEastAsia" w:hAnsi="Calibri" w:cs="Calibri"/>
                <w:b/>
                <w:bCs/>
                <w:color w:val="000000"/>
                <w:sz w:val="22"/>
                <w:szCs w:val="22"/>
                <w:vertAlign w:val="superscript"/>
                <w:lang w:eastAsia="en-AU"/>
              </w:rPr>
              <w:t>)</w:t>
            </w:r>
          </w:p>
        </w:tc>
        <w:tc>
          <w:tcPr>
            <w:tcW w:w="1719"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53 112</w:t>
            </w:r>
          </w:p>
        </w:tc>
        <w:tc>
          <w:tcPr>
            <w:tcW w:w="1825"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50</w:t>
            </w:r>
          </w:p>
        </w:tc>
        <w:tc>
          <w:tcPr>
            <w:tcW w:w="2409"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44 111</w:t>
            </w:r>
          </w:p>
        </w:tc>
        <w:tc>
          <w:tcPr>
            <w:tcW w:w="2127"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46 414</w:t>
            </w:r>
          </w:p>
        </w:tc>
        <w:tc>
          <w:tcPr>
            <w:tcW w:w="1134"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740</w:t>
            </w:r>
          </w:p>
        </w:tc>
        <w:tc>
          <w:tcPr>
            <w:tcW w:w="1103" w:type="dxa"/>
            <w:tcBorders>
              <w:top w:val="single" w:sz="6" w:space="0" w:color="auto"/>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144 427</w:t>
            </w:r>
          </w:p>
        </w:tc>
      </w:tr>
      <w:tr w:rsidR="00DB2687" w:rsidRPr="00376DFB" w:rsidTr="00DB2687">
        <w:trPr>
          <w:cantSplit/>
        </w:trPr>
        <w:tc>
          <w:tcPr>
            <w:tcW w:w="4253" w:type="dxa"/>
            <w:tcBorders>
              <w:top w:val="single" w:sz="6" w:space="0" w:color="auto"/>
              <w:left w:val="nil"/>
              <w:right w:val="nil"/>
            </w:tcBorders>
            <w:shd w:val="clear" w:color="auto" w:fill="FFFFFF"/>
          </w:tcPr>
          <w:p w:rsidR="00DB2687" w:rsidRPr="00376DFB" w:rsidRDefault="00DB2687" w:rsidP="00186227">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2014-15</w:t>
            </w:r>
            <w:r w:rsidRPr="00CA0111">
              <w:rPr>
                <w:rFonts w:ascii="Calibri" w:eastAsiaTheme="minorEastAsia" w:hAnsi="Calibri" w:cs="Calibri"/>
                <w:b/>
                <w:color w:val="000000"/>
                <w:sz w:val="22"/>
                <w:szCs w:val="22"/>
                <w:vertAlign w:val="superscript"/>
                <w:lang w:eastAsia="en-AU"/>
              </w:rPr>
              <w:t>(</w:t>
            </w:r>
            <w:r>
              <w:rPr>
                <w:rFonts w:ascii="Calibri" w:eastAsiaTheme="minorEastAsia" w:hAnsi="Calibri" w:cs="Calibri"/>
                <w:b/>
                <w:color w:val="000000"/>
                <w:sz w:val="22"/>
                <w:szCs w:val="22"/>
                <w:vertAlign w:val="superscript"/>
                <w:lang w:eastAsia="en-AU"/>
              </w:rPr>
              <w:t>c</w:t>
            </w:r>
            <w:r w:rsidRPr="00CA0111">
              <w:rPr>
                <w:rFonts w:ascii="Calibri" w:eastAsiaTheme="minorEastAsia" w:hAnsi="Calibri" w:cs="Calibri"/>
                <w:b/>
                <w:color w:val="000000"/>
                <w:sz w:val="22"/>
                <w:szCs w:val="22"/>
                <w:vertAlign w:val="superscript"/>
                <w:lang w:eastAsia="en-AU"/>
              </w:rPr>
              <w:t>)</w:t>
            </w:r>
          </w:p>
        </w:tc>
        <w:tc>
          <w:tcPr>
            <w:tcW w:w="1719"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1825"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2409"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2127"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1134"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c>
          <w:tcPr>
            <w:tcW w:w="1103" w:type="dxa"/>
            <w:tcBorders>
              <w:top w:val="single" w:sz="6" w:space="0" w:color="auto"/>
              <w:left w:val="nil"/>
              <w:right w:val="nil"/>
            </w:tcBorders>
            <w:shd w:val="clear" w:color="auto" w:fill="FFFFFF"/>
          </w:tcPr>
          <w:p w:rsidR="00DB2687" w:rsidRPr="00376DFB" w:rsidRDefault="00DB2687" w:rsidP="00376DFB">
            <w:pPr>
              <w:autoSpaceDE w:val="0"/>
              <w:autoSpaceDN w:val="0"/>
              <w:adjustRightInd w:val="0"/>
              <w:spacing w:after="0"/>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w:t>
            </w:r>
          </w:p>
        </w:tc>
      </w:tr>
      <w:tr w:rsidR="00DB2687" w:rsidRPr="00376DFB" w:rsidTr="00DB2687">
        <w:trPr>
          <w:cantSplit/>
        </w:trPr>
        <w:tc>
          <w:tcPr>
            <w:tcW w:w="4253" w:type="dxa"/>
            <w:tcBorders>
              <w:top w:val="nil"/>
              <w:left w:val="nil"/>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376DFB">
              <w:rPr>
                <w:rFonts w:ascii="Calibri" w:eastAsiaTheme="minorEastAsia" w:hAnsi="Calibri" w:cs="Calibri"/>
                <w:color w:val="000000"/>
                <w:sz w:val="22"/>
                <w:szCs w:val="22"/>
                <w:lang w:eastAsia="en-AU"/>
              </w:rPr>
              <w:t>Balance at 1 July 2014</w:t>
            </w:r>
          </w:p>
        </w:tc>
        <w:tc>
          <w:tcPr>
            <w:tcW w:w="171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43 635</w:t>
            </w:r>
          </w:p>
        </w:tc>
        <w:tc>
          <w:tcPr>
            <w:tcW w:w="1825"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50</w:t>
            </w:r>
          </w:p>
        </w:tc>
        <w:tc>
          <w:tcPr>
            <w:tcW w:w="240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41 965</w:t>
            </w:r>
          </w:p>
        </w:tc>
        <w:tc>
          <w:tcPr>
            <w:tcW w:w="2127"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42 187</w:t>
            </w:r>
          </w:p>
        </w:tc>
        <w:tc>
          <w:tcPr>
            <w:tcW w:w="1134"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640</w:t>
            </w:r>
          </w:p>
        </w:tc>
        <w:tc>
          <w:tcPr>
            <w:tcW w:w="1103"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128 477</w:t>
            </w:r>
          </w:p>
        </w:tc>
      </w:tr>
      <w:tr w:rsidR="00DB2687" w:rsidRPr="00376DFB" w:rsidTr="00DB2687">
        <w:trPr>
          <w:cantSplit/>
        </w:trPr>
        <w:tc>
          <w:tcPr>
            <w:tcW w:w="4253" w:type="dxa"/>
            <w:tcBorders>
              <w:top w:val="nil"/>
              <w:left w:val="nil"/>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376DFB">
              <w:rPr>
                <w:rFonts w:ascii="Calibri" w:eastAsiaTheme="minorEastAsia" w:hAnsi="Calibri" w:cs="Calibri"/>
                <w:color w:val="000000"/>
                <w:sz w:val="22"/>
                <w:szCs w:val="22"/>
                <w:lang w:eastAsia="en-AU"/>
              </w:rPr>
              <w:t>Net result for the quarter</w:t>
            </w:r>
          </w:p>
        </w:tc>
        <w:tc>
          <w:tcPr>
            <w:tcW w:w="171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351</w:t>
            </w:r>
          </w:p>
        </w:tc>
        <w:tc>
          <w:tcPr>
            <w:tcW w:w="1825"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240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2127"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1103"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351</w:t>
            </w:r>
          </w:p>
        </w:tc>
      </w:tr>
      <w:tr w:rsidR="00DB2687" w:rsidRPr="00376DFB" w:rsidTr="00DB2687">
        <w:trPr>
          <w:cantSplit/>
        </w:trPr>
        <w:tc>
          <w:tcPr>
            <w:tcW w:w="4253" w:type="dxa"/>
            <w:tcBorders>
              <w:top w:val="nil"/>
              <w:left w:val="nil"/>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376DFB">
              <w:rPr>
                <w:rFonts w:ascii="Calibri" w:eastAsiaTheme="minorEastAsia" w:hAnsi="Calibri" w:cs="Calibri"/>
                <w:color w:val="000000"/>
                <w:sz w:val="22"/>
                <w:szCs w:val="22"/>
                <w:lang w:eastAsia="en-AU"/>
              </w:rPr>
              <w:t>Other comprehensive income for the year</w:t>
            </w:r>
          </w:p>
        </w:tc>
        <w:tc>
          <w:tcPr>
            <w:tcW w:w="171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128</w:t>
            </w:r>
          </w:p>
        </w:tc>
        <w:tc>
          <w:tcPr>
            <w:tcW w:w="1825"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2409"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22</w:t>
            </w:r>
          </w:p>
        </w:tc>
        <w:tc>
          <w:tcPr>
            <w:tcW w:w="2127"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5</w:t>
            </w:r>
          </w:p>
        </w:tc>
        <w:tc>
          <w:tcPr>
            <w:tcW w:w="1103" w:type="dxa"/>
            <w:tcBorders>
              <w:top w:val="nil"/>
              <w:left w:val="nil"/>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155</w:t>
            </w:r>
          </w:p>
        </w:tc>
      </w:tr>
      <w:tr w:rsidR="00DB2687" w:rsidRPr="00376DFB" w:rsidTr="00DB2687">
        <w:trPr>
          <w:cantSplit/>
        </w:trPr>
        <w:tc>
          <w:tcPr>
            <w:tcW w:w="4253" w:type="dxa"/>
            <w:tcBorders>
              <w:top w:val="nil"/>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color w:val="000000"/>
                <w:sz w:val="22"/>
                <w:szCs w:val="22"/>
                <w:vertAlign w:val="superscript"/>
                <w:lang w:eastAsia="en-AU"/>
              </w:rPr>
            </w:pPr>
            <w:r w:rsidRPr="00376DFB">
              <w:rPr>
                <w:rFonts w:ascii="Calibri" w:eastAsiaTheme="minorEastAsia" w:hAnsi="Calibri" w:cs="Calibri"/>
                <w:color w:val="000000"/>
                <w:sz w:val="22"/>
                <w:szCs w:val="22"/>
                <w:lang w:eastAsia="en-AU"/>
              </w:rPr>
              <w:t>Transfer to accumulated surplus</w:t>
            </w:r>
          </w:p>
        </w:tc>
        <w:tc>
          <w:tcPr>
            <w:tcW w:w="1719" w:type="dxa"/>
            <w:tcBorders>
              <w:top w:val="nil"/>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392</w:t>
            </w:r>
          </w:p>
        </w:tc>
        <w:tc>
          <w:tcPr>
            <w:tcW w:w="1825" w:type="dxa"/>
            <w:tcBorders>
              <w:top w:val="nil"/>
              <w:left w:val="nil"/>
              <w:bottom w:val="single" w:sz="6" w:space="0" w:color="auto"/>
              <w:right w:val="nil"/>
            </w:tcBorders>
            <w:shd w:val="clear" w:color="auto" w:fill="FFFFFF"/>
          </w:tcPr>
          <w:p w:rsidR="00DB2687" w:rsidRPr="00376DFB" w:rsidRDefault="00DB2687" w:rsidP="00F21AC8">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w:t>
            </w:r>
          </w:p>
        </w:tc>
        <w:tc>
          <w:tcPr>
            <w:tcW w:w="2409" w:type="dxa"/>
            <w:tcBorders>
              <w:top w:val="nil"/>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(392)</w:t>
            </w:r>
          </w:p>
        </w:tc>
        <w:tc>
          <w:tcPr>
            <w:tcW w:w="2127" w:type="dxa"/>
            <w:tcBorders>
              <w:top w:val="nil"/>
              <w:left w:val="nil"/>
              <w:bottom w:val="single" w:sz="6" w:space="0" w:color="auto"/>
              <w:right w:val="nil"/>
            </w:tcBorders>
            <w:shd w:val="clear" w:color="auto" w:fill="FFFFFF"/>
          </w:tcPr>
          <w:p w:rsidR="00DB2687" w:rsidRPr="00376DFB" w:rsidRDefault="00DB2687" w:rsidP="00F21AC8">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auto"/>
              <w:right w:val="nil"/>
            </w:tcBorders>
            <w:shd w:val="clear" w:color="auto" w:fill="FFFFFF"/>
          </w:tcPr>
          <w:p w:rsidR="00DB2687" w:rsidRPr="00376DFB" w:rsidRDefault="00DB2687" w:rsidP="00F21AC8">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 xml:space="preserve"> ..</w:t>
            </w:r>
          </w:p>
        </w:tc>
        <w:tc>
          <w:tcPr>
            <w:tcW w:w="1103" w:type="dxa"/>
            <w:tcBorders>
              <w:top w:val="nil"/>
              <w:left w:val="nil"/>
              <w:bottom w:val="single" w:sz="6"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color w:val="000000"/>
                <w:sz w:val="22"/>
                <w:szCs w:val="22"/>
                <w:lang w:eastAsia="en-AU"/>
              </w:rPr>
            </w:pPr>
            <w:r w:rsidRPr="00376DFB">
              <w:rPr>
                <w:rFonts w:ascii="Calibri" w:eastAsiaTheme="minorEastAsia" w:hAnsi="Calibri" w:cs="Calibri"/>
                <w:color w:val="000000"/>
                <w:sz w:val="22"/>
                <w:szCs w:val="22"/>
                <w:lang w:eastAsia="en-AU"/>
              </w:rPr>
              <w:t>..</w:t>
            </w:r>
          </w:p>
        </w:tc>
      </w:tr>
      <w:tr w:rsidR="00DB2687" w:rsidRPr="00376DFB" w:rsidTr="00DB2687">
        <w:trPr>
          <w:cantSplit/>
        </w:trPr>
        <w:tc>
          <w:tcPr>
            <w:tcW w:w="4253" w:type="dxa"/>
            <w:tcBorders>
              <w:top w:val="single" w:sz="6" w:space="0" w:color="auto"/>
              <w:left w:val="nil"/>
              <w:bottom w:val="single" w:sz="12" w:space="0" w:color="auto"/>
              <w:right w:val="nil"/>
            </w:tcBorders>
            <w:shd w:val="clear" w:color="auto" w:fill="FFFFFF"/>
          </w:tcPr>
          <w:p w:rsidR="00DB2687" w:rsidRPr="00376DFB" w:rsidRDefault="00DB2687" w:rsidP="00376DFB">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376DFB">
              <w:rPr>
                <w:rFonts w:ascii="Calibri" w:eastAsiaTheme="minorEastAsia" w:hAnsi="Calibri" w:cs="Calibri"/>
                <w:b/>
                <w:bCs/>
                <w:color w:val="000000"/>
                <w:sz w:val="22"/>
                <w:szCs w:val="22"/>
                <w:lang w:eastAsia="en-AU"/>
              </w:rPr>
              <w:t>Total equity as at 30 September 2014</w:t>
            </w:r>
          </w:p>
        </w:tc>
        <w:tc>
          <w:tcPr>
            <w:tcW w:w="1719" w:type="dxa"/>
            <w:tcBorders>
              <w:top w:val="single" w:sz="6" w:space="0" w:color="auto"/>
              <w:left w:val="nil"/>
              <w:bottom w:val="single" w:sz="12"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44 505</w:t>
            </w:r>
          </w:p>
        </w:tc>
        <w:tc>
          <w:tcPr>
            <w:tcW w:w="1825" w:type="dxa"/>
            <w:tcBorders>
              <w:top w:val="single" w:sz="6" w:space="0" w:color="auto"/>
              <w:left w:val="nil"/>
              <w:bottom w:val="single" w:sz="12"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50</w:t>
            </w:r>
          </w:p>
        </w:tc>
        <w:tc>
          <w:tcPr>
            <w:tcW w:w="2409" w:type="dxa"/>
            <w:tcBorders>
              <w:top w:val="single" w:sz="6" w:space="0" w:color="auto"/>
              <w:left w:val="nil"/>
              <w:bottom w:val="single" w:sz="12"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41 595</w:t>
            </w:r>
          </w:p>
        </w:tc>
        <w:tc>
          <w:tcPr>
            <w:tcW w:w="2127" w:type="dxa"/>
            <w:tcBorders>
              <w:top w:val="single" w:sz="6" w:space="0" w:color="auto"/>
              <w:left w:val="nil"/>
              <w:bottom w:val="single" w:sz="12"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42 187</w:t>
            </w:r>
          </w:p>
        </w:tc>
        <w:tc>
          <w:tcPr>
            <w:tcW w:w="1134" w:type="dxa"/>
            <w:tcBorders>
              <w:top w:val="single" w:sz="6" w:space="0" w:color="auto"/>
              <w:left w:val="nil"/>
              <w:bottom w:val="single" w:sz="12"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 xml:space="preserve"> 646</w:t>
            </w:r>
          </w:p>
        </w:tc>
        <w:tc>
          <w:tcPr>
            <w:tcW w:w="1103" w:type="dxa"/>
            <w:tcBorders>
              <w:top w:val="single" w:sz="6" w:space="0" w:color="auto"/>
              <w:left w:val="nil"/>
              <w:bottom w:val="single" w:sz="12" w:space="0" w:color="auto"/>
              <w:right w:val="nil"/>
            </w:tcBorders>
            <w:shd w:val="clear" w:color="auto" w:fill="FFFFFF"/>
          </w:tcPr>
          <w:p w:rsidR="00DB2687" w:rsidRPr="00376DFB" w:rsidRDefault="00DB2687" w:rsidP="00376DFB">
            <w:pPr>
              <w:autoSpaceDE w:val="0"/>
              <w:autoSpaceDN w:val="0"/>
              <w:adjustRightInd w:val="0"/>
              <w:spacing w:after="0"/>
              <w:jc w:val="right"/>
              <w:rPr>
                <w:rFonts w:ascii="Calibri" w:eastAsiaTheme="minorEastAsia" w:hAnsi="Calibri" w:cs="Calibri"/>
                <w:b/>
                <w:bCs/>
                <w:color w:val="000000"/>
                <w:sz w:val="22"/>
                <w:szCs w:val="22"/>
                <w:lang w:eastAsia="en-AU"/>
              </w:rPr>
            </w:pPr>
            <w:r w:rsidRPr="00376DFB">
              <w:rPr>
                <w:rFonts w:ascii="Calibri" w:eastAsiaTheme="minorEastAsia" w:hAnsi="Calibri" w:cs="Calibri"/>
                <w:b/>
                <w:bCs/>
                <w:color w:val="000000"/>
                <w:sz w:val="22"/>
                <w:szCs w:val="22"/>
                <w:lang w:eastAsia="en-AU"/>
              </w:rPr>
              <w:t>128 983</w:t>
            </w:r>
          </w:p>
        </w:tc>
      </w:tr>
      <w:tr w:rsidR="00DB2687" w:rsidRPr="00376DFB" w:rsidTr="00DB2687">
        <w:trPr>
          <w:cantSplit/>
        </w:trPr>
        <w:tc>
          <w:tcPr>
            <w:tcW w:w="14570" w:type="dxa"/>
            <w:gridSpan w:val="7"/>
            <w:tcBorders>
              <w:top w:val="single" w:sz="12" w:space="0" w:color="auto"/>
              <w:left w:val="nil"/>
              <w:bottom w:val="nil"/>
              <w:right w:val="nil"/>
            </w:tcBorders>
            <w:shd w:val="clear" w:color="auto" w:fill="auto"/>
          </w:tcPr>
          <w:p w:rsidR="00DB2687" w:rsidRDefault="00DB2687" w:rsidP="0017705A">
            <w:pPr>
              <w:pStyle w:val="Notes"/>
              <w:rPr>
                <w:rFonts w:eastAsiaTheme="minorEastAsia"/>
                <w:lang w:eastAsia="en-AU"/>
              </w:rPr>
            </w:pPr>
            <w:r>
              <w:rPr>
                <w:rFonts w:eastAsiaTheme="minorEastAsia"/>
                <w:lang w:eastAsia="en-AU"/>
              </w:rPr>
              <w:t>The accompanying notes form part of these financial statements.</w:t>
            </w:r>
          </w:p>
          <w:p w:rsidR="00DB2687" w:rsidRDefault="00DB2687" w:rsidP="00376DFB">
            <w:pPr>
              <w:pStyle w:val="Notes"/>
              <w:rPr>
                <w:rFonts w:eastAsiaTheme="minorEastAsia"/>
                <w:lang w:eastAsia="en-AU"/>
              </w:rPr>
            </w:pPr>
          </w:p>
          <w:p w:rsidR="00DB2687" w:rsidRPr="00376DFB" w:rsidRDefault="00DB2687" w:rsidP="00186227">
            <w:pPr>
              <w:pStyle w:val="Notes"/>
              <w:rPr>
                <w:rFonts w:eastAsiaTheme="minorEastAsia"/>
                <w:lang w:eastAsia="en-AU"/>
              </w:rPr>
            </w:pPr>
            <w:r w:rsidRPr="00376DFB">
              <w:rPr>
                <w:rFonts w:eastAsiaTheme="minorEastAsia"/>
                <w:lang w:eastAsia="en-AU"/>
              </w:rPr>
              <w:t>Note</w:t>
            </w:r>
            <w:r>
              <w:rPr>
                <w:rFonts w:eastAsiaTheme="minorEastAsia"/>
                <w:lang w:eastAsia="en-AU"/>
              </w:rPr>
              <w:t>s</w:t>
            </w:r>
            <w:r w:rsidRPr="00376DFB">
              <w:rPr>
                <w:rFonts w:eastAsiaTheme="minorEastAsia"/>
                <w:lang w:eastAsia="en-AU"/>
              </w:rPr>
              <w:t>:</w:t>
            </w:r>
          </w:p>
        </w:tc>
      </w:tr>
      <w:tr w:rsidR="00DB2687" w:rsidRPr="00376DFB" w:rsidTr="00DB2687">
        <w:trPr>
          <w:cantSplit/>
        </w:trPr>
        <w:tc>
          <w:tcPr>
            <w:tcW w:w="14570" w:type="dxa"/>
            <w:gridSpan w:val="7"/>
            <w:tcBorders>
              <w:top w:val="nil"/>
              <w:left w:val="nil"/>
              <w:bottom w:val="nil"/>
              <w:right w:val="nil"/>
            </w:tcBorders>
            <w:shd w:val="solid" w:color="FFFFFF" w:fill="auto"/>
          </w:tcPr>
          <w:p w:rsidR="00DB2687" w:rsidRDefault="00DB2687" w:rsidP="00376DFB">
            <w:pPr>
              <w:pStyle w:val="Notes"/>
              <w:rPr>
                <w:rFonts w:eastAsiaTheme="minorEastAsia"/>
                <w:lang w:eastAsia="en-AU"/>
              </w:rPr>
            </w:pPr>
            <w:r>
              <w:rPr>
                <w:rFonts w:eastAsiaTheme="minorEastAsia"/>
                <w:lang w:eastAsia="en-AU"/>
              </w:rPr>
              <w:t>(a)</w:t>
            </w:r>
            <w:r>
              <w:rPr>
                <w:rFonts w:eastAsiaTheme="minorEastAsia"/>
                <w:lang w:eastAsia="en-AU"/>
              </w:rPr>
              <w:tab/>
              <w:t>Non-financial assets revaluation surplus relates to revaluation of land, buildings, infrastructure, plant and equipment.</w:t>
            </w:r>
          </w:p>
          <w:p w:rsidR="00DB2687" w:rsidRDefault="00DB2687" w:rsidP="00376DFB">
            <w:pPr>
              <w:pStyle w:val="Notes"/>
              <w:rPr>
                <w:rFonts w:eastAsiaTheme="minorEastAsia"/>
                <w:lang w:eastAsia="en-AU"/>
              </w:rPr>
            </w:pPr>
            <w:r>
              <w:rPr>
                <w:rFonts w:eastAsiaTheme="minorEastAsia"/>
                <w:lang w:eastAsia="en-AU"/>
              </w:rPr>
              <w:t>(b)</w:t>
            </w:r>
            <w:r>
              <w:rPr>
                <w:rFonts w:eastAsiaTheme="minorEastAsia"/>
                <w:lang w:eastAsia="en-AU"/>
              </w:rPr>
              <w:tab/>
              <w:t>Balances represent actual opening balances at 1 July 2015 plus 2015-16 budgeted movements.</w:t>
            </w:r>
          </w:p>
          <w:p w:rsidR="00DB2687" w:rsidRPr="00376DFB" w:rsidRDefault="00DB2687" w:rsidP="00186227">
            <w:pPr>
              <w:pStyle w:val="Notes"/>
              <w:rPr>
                <w:rFonts w:eastAsiaTheme="minorEastAsia"/>
                <w:lang w:eastAsia="en-AU"/>
              </w:rPr>
            </w:pPr>
            <w:r>
              <w:rPr>
                <w:rFonts w:eastAsiaTheme="minorEastAsia"/>
                <w:lang w:eastAsia="en-AU"/>
              </w:rPr>
              <w:t>(c)</w:t>
            </w:r>
            <w:r>
              <w:rPr>
                <w:rFonts w:eastAsiaTheme="minorEastAsia"/>
                <w:lang w:eastAsia="en-AU"/>
              </w:rPr>
              <w:tab/>
              <w:t>September 2014-15 comparative figures have been restated to reflect more current information.</w:t>
            </w:r>
          </w:p>
        </w:tc>
      </w:tr>
    </w:tbl>
    <w:p w:rsidR="00376DFB" w:rsidRDefault="00376DFB" w:rsidP="00283E0D"/>
    <w:p w:rsidR="00376DFB" w:rsidRDefault="00376DFB" w:rsidP="00283E0D"/>
    <w:p w:rsidR="00376DFB" w:rsidRDefault="00376DFB" w:rsidP="00283E0D"/>
    <w:p w:rsidR="00376DFB" w:rsidRDefault="00376DFB" w:rsidP="00283E0D">
      <w:pPr>
        <w:sectPr w:rsidR="00376DFB" w:rsidSect="00376DFB">
          <w:headerReference w:type="even" r:id="rId21"/>
          <w:footerReference w:type="even" r:id="rId22"/>
          <w:footerReference w:type="default" r:id="rId23"/>
          <w:pgSz w:w="16838" w:h="11906" w:orient="landscape" w:code="9"/>
          <w:pgMar w:top="1151" w:right="1151" w:bottom="1151" w:left="1151" w:header="720" w:footer="720" w:gutter="0"/>
          <w:cols w:space="708"/>
          <w:docGrid w:linePitch="360"/>
        </w:sectPr>
      </w:pPr>
    </w:p>
    <w:p w:rsidR="00283E0D" w:rsidRDefault="00283E0D" w:rsidP="007D0381">
      <w:pPr>
        <w:pStyle w:val="Heading1nonTOC"/>
      </w:pPr>
      <w:r>
        <w:lastRenderedPageBreak/>
        <w:t>Notes to the financial statements</w:t>
      </w:r>
    </w:p>
    <w:p w:rsidR="006644EB" w:rsidRDefault="00283E0D">
      <w:pPr>
        <w:pStyle w:val="TOC4"/>
        <w:rPr>
          <w:rFonts w:asciiTheme="minorHAnsi" w:eastAsiaTheme="minorEastAsia" w:hAnsiTheme="minorHAnsi" w:cstheme="minorBidi"/>
          <w:noProof/>
          <w:szCs w:val="22"/>
          <w:lang w:eastAsia="en-AU"/>
        </w:rPr>
      </w:pPr>
      <w:r>
        <w:rPr>
          <w:noProof/>
          <w:sz w:val="20"/>
        </w:rPr>
        <w:fldChar w:fldCharType="begin"/>
      </w:r>
      <w:r>
        <w:instrText xml:space="preserve"> TOC \h \z \t "Heading 2 Notes Qtrly,4" </w:instrText>
      </w:r>
      <w:r>
        <w:rPr>
          <w:noProof/>
          <w:sz w:val="20"/>
        </w:rPr>
        <w:fldChar w:fldCharType="separate"/>
      </w:r>
      <w:hyperlink w:anchor="_Toc435107433" w:history="1">
        <w:r w:rsidR="006644EB" w:rsidRPr="00F007C2">
          <w:rPr>
            <w:rStyle w:val="Hyperlink"/>
            <w:noProof/>
          </w:rPr>
          <w:t xml:space="preserve">Note 1: </w:t>
        </w:r>
        <w:r w:rsidR="006644EB">
          <w:rPr>
            <w:rFonts w:asciiTheme="minorHAnsi" w:eastAsiaTheme="minorEastAsia" w:hAnsiTheme="minorHAnsi" w:cstheme="minorBidi"/>
            <w:noProof/>
            <w:szCs w:val="22"/>
            <w:lang w:eastAsia="en-AU"/>
          </w:rPr>
          <w:tab/>
        </w:r>
        <w:r w:rsidR="006644EB" w:rsidRPr="00F007C2">
          <w:rPr>
            <w:rStyle w:val="Hyperlink"/>
            <w:noProof/>
          </w:rPr>
          <w:t>Summary of significant accounting policies</w:t>
        </w:r>
        <w:r w:rsidR="006644EB">
          <w:rPr>
            <w:noProof/>
            <w:webHidden/>
          </w:rPr>
          <w:tab/>
        </w:r>
        <w:r w:rsidR="006644EB">
          <w:rPr>
            <w:noProof/>
            <w:webHidden/>
          </w:rPr>
          <w:fldChar w:fldCharType="begin"/>
        </w:r>
        <w:r w:rsidR="006644EB">
          <w:rPr>
            <w:noProof/>
            <w:webHidden/>
          </w:rPr>
          <w:instrText xml:space="preserve"> PAGEREF _Toc435107433 \h </w:instrText>
        </w:r>
        <w:r w:rsidR="006644EB">
          <w:rPr>
            <w:noProof/>
            <w:webHidden/>
          </w:rPr>
        </w:r>
        <w:r w:rsidR="006644EB">
          <w:rPr>
            <w:noProof/>
            <w:webHidden/>
          </w:rPr>
          <w:fldChar w:fldCharType="separate"/>
        </w:r>
        <w:r w:rsidR="006644EB">
          <w:rPr>
            <w:noProof/>
            <w:webHidden/>
          </w:rPr>
          <w:t>10</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34" w:history="1">
        <w:r w:rsidR="006644EB" w:rsidRPr="00F007C2">
          <w:rPr>
            <w:rStyle w:val="Hyperlink"/>
            <w:noProof/>
          </w:rPr>
          <w:t>Note 2:</w:t>
        </w:r>
        <w:r w:rsidR="006644EB">
          <w:rPr>
            <w:rFonts w:asciiTheme="minorHAnsi" w:eastAsiaTheme="minorEastAsia" w:hAnsiTheme="minorHAnsi" w:cstheme="minorBidi"/>
            <w:noProof/>
            <w:szCs w:val="22"/>
            <w:lang w:eastAsia="en-AU"/>
          </w:rPr>
          <w:tab/>
        </w:r>
        <w:r w:rsidR="006644EB" w:rsidRPr="00F007C2">
          <w:rPr>
            <w:rStyle w:val="Hyperlink"/>
            <w:noProof/>
          </w:rPr>
          <w:t>Taxation revenue</w:t>
        </w:r>
        <w:r w:rsidR="006644EB">
          <w:rPr>
            <w:noProof/>
            <w:webHidden/>
          </w:rPr>
          <w:tab/>
        </w:r>
        <w:r w:rsidR="006644EB">
          <w:rPr>
            <w:noProof/>
            <w:webHidden/>
          </w:rPr>
          <w:fldChar w:fldCharType="begin"/>
        </w:r>
        <w:r w:rsidR="006644EB">
          <w:rPr>
            <w:noProof/>
            <w:webHidden/>
          </w:rPr>
          <w:instrText xml:space="preserve"> PAGEREF _Toc435107434 \h </w:instrText>
        </w:r>
        <w:r w:rsidR="006644EB">
          <w:rPr>
            <w:noProof/>
            <w:webHidden/>
          </w:rPr>
        </w:r>
        <w:r w:rsidR="006644EB">
          <w:rPr>
            <w:noProof/>
            <w:webHidden/>
          </w:rPr>
          <w:fldChar w:fldCharType="separate"/>
        </w:r>
        <w:r w:rsidR="006644EB">
          <w:rPr>
            <w:noProof/>
            <w:webHidden/>
          </w:rPr>
          <w:t>11</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35" w:history="1">
        <w:r w:rsidR="006644EB" w:rsidRPr="00F007C2">
          <w:rPr>
            <w:rStyle w:val="Hyperlink"/>
            <w:noProof/>
          </w:rPr>
          <w:t>Note 3:</w:t>
        </w:r>
        <w:r w:rsidR="006644EB">
          <w:rPr>
            <w:rFonts w:asciiTheme="minorHAnsi" w:eastAsiaTheme="minorEastAsia" w:hAnsiTheme="minorHAnsi" w:cstheme="minorBidi"/>
            <w:noProof/>
            <w:szCs w:val="22"/>
            <w:lang w:eastAsia="en-AU"/>
          </w:rPr>
          <w:tab/>
        </w:r>
        <w:r w:rsidR="006644EB" w:rsidRPr="00F007C2">
          <w:rPr>
            <w:rStyle w:val="Hyperlink"/>
            <w:noProof/>
          </w:rPr>
          <w:t>Dividends and income tax equivalent and rate equivalent revenue</w:t>
        </w:r>
        <w:r w:rsidR="006644EB">
          <w:rPr>
            <w:noProof/>
            <w:webHidden/>
          </w:rPr>
          <w:tab/>
        </w:r>
        <w:r w:rsidR="006644EB">
          <w:rPr>
            <w:noProof/>
            <w:webHidden/>
          </w:rPr>
          <w:fldChar w:fldCharType="begin"/>
        </w:r>
        <w:r w:rsidR="006644EB">
          <w:rPr>
            <w:noProof/>
            <w:webHidden/>
          </w:rPr>
          <w:instrText xml:space="preserve"> PAGEREF _Toc435107435 \h </w:instrText>
        </w:r>
        <w:r w:rsidR="006644EB">
          <w:rPr>
            <w:noProof/>
            <w:webHidden/>
          </w:rPr>
        </w:r>
        <w:r w:rsidR="006644EB">
          <w:rPr>
            <w:noProof/>
            <w:webHidden/>
          </w:rPr>
          <w:fldChar w:fldCharType="separate"/>
        </w:r>
        <w:r w:rsidR="006644EB">
          <w:rPr>
            <w:noProof/>
            <w:webHidden/>
          </w:rPr>
          <w:t>12</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36" w:history="1">
        <w:r w:rsidR="006644EB" w:rsidRPr="00F007C2">
          <w:rPr>
            <w:rStyle w:val="Hyperlink"/>
            <w:noProof/>
          </w:rPr>
          <w:t>Note 4:</w:t>
        </w:r>
        <w:r w:rsidR="006644EB">
          <w:rPr>
            <w:rFonts w:asciiTheme="minorHAnsi" w:eastAsiaTheme="minorEastAsia" w:hAnsiTheme="minorHAnsi" w:cstheme="minorBidi"/>
            <w:noProof/>
            <w:szCs w:val="22"/>
            <w:lang w:eastAsia="en-AU"/>
          </w:rPr>
          <w:tab/>
        </w:r>
        <w:r w:rsidR="006644EB" w:rsidRPr="00F007C2">
          <w:rPr>
            <w:rStyle w:val="Hyperlink"/>
            <w:noProof/>
          </w:rPr>
          <w:t>Sales of goods and services</w:t>
        </w:r>
        <w:r w:rsidR="006644EB">
          <w:rPr>
            <w:noProof/>
            <w:webHidden/>
          </w:rPr>
          <w:tab/>
        </w:r>
        <w:r w:rsidR="006644EB">
          <w:rPr>
            <w:noProof/>
            <w:webHidden/>
          </w:rPr>
          <w:fldChar w:fldCharType="begin"/>
        </w:r>
        <w:r w:rsidR="006644EB">
          <w:rPr>
            <w:noProof/>
            <w:webHidden/>
          </w:rPr>
          <w:instrText xml:space="preserve"> PAGEREF _Toc435107436 \h </w:instrText>
        </w:r>
        <w:r w:rsidR="006644EB">
          <w:rPr>
            <w:noProof/>
            <w:webHidden/>
          </w:rPr>
        </w:r>
        <w:r w:rsidR="006644EB">
          <w:rPr>
            <w:noProof/>
            <w:webHidden/>
          </w:rPr>
          <w:fldChar w:fldCharType="separate"/>
        </w:r>
        <w:r w:rsidR="006644EB">
          <w:rPr>
            <w:noProof/>
            <w:webHidden/>
          </w:rPr>
          <w:t>12</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37" w:history="1">
        <w:r w:rsidR="006644EB" w:rsidRPr="00F007C2">
          <w:rPr>
            <w:rStyle w:val="Hyperlink"/>
            <w:noProof/>
          </w:rPr>
          <w:t>Note 5:</w:t>
        </w:r>
        <w:r w:rsidR="006644EB">
          <w:rPr>
            <w:rFonts w:asciiTheme="minorHAnsi" w:eastAsiaTheme="minorEastAsia" w:hAnsiTheme="minorHAnsi" w:cstheme="minorBidi"/>
            <w:noProof/>
            <w:szCs w:val="22"/>
            <w:lang w:eastAsia="en-AU"/>
          </w:rPr>
          <w:tab/>
        </w:r>
        <w:r w:rsidR="006644EB" w:rsidRPr="00F007C2">
          <w:rPr>
            <w:rStyle w:val="Hyperlink"/>
            <w:noProof/>
          </w:rPr>
          <w:t>Grant revenue</w:t>
        </w:r>
        <w:r w:rsidR="006644EB">
          <w:rPr>
            <w:noProof/>
            <w:webHidden/>
          </w:rPr>
          <w:tab/>
        </w:r>
        <w:r w:rsidR="006644EB">
          <w:rPr>
            <w:noProof/>
            <w:webHidden/>
          </w:rPr>
          <w:fldChar w:fldCharType="begin"/>
        </w:r>
        <w:r w:rsidR="006644EB">
          <w:rPr>
            <w:noProof/>
            <w:webHidden/>
          </w:rPr>
          <w:instrText xml:space="preserve"> PAGEREF _Toc435107437 \h </w:instrText>
        </w:r>
        <w:r w:rsidR="006644EB">
          <w:rPr>
            <w:noProof/>
            <w:webHidden/>
          </w:rPr>
        </w:r>
        <w:r w:rsidR="006644EB">
          <w:rPr>
            <w:noProof/>
            <w:webHidden/>
          </w:rPr>
          <w:fldChar w:fldCharType="separate"/>
        </w:r>
        <w:r w:rsidR="006644EB">
          <w:rPr>
            <w:noProof/>
            <w:webHidden/>
          </w:rPr>
          <w:t>12</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38" w:history="1">
        <w:r w:rsidR="006644EB" w:rsidRPr="00F007C2">
          <w:rPr>
            <w:rStyle w:val="Hyperlink"/>
            <w:noProof/>
          </w:rPr>
          <w:t>Note 6:</w:t>
        </w:r>
        <w:r w:rsidR="006644EB">
          <w:rPr>
            <w:rFonts w:asciiTheme="minorHAnsi" w:eastAsiaTheme="minorEastAsia" w:hAnsiTheme="minorHAnsi" w:cstheme="minorBidi"/>
            <w:noProof/>
            <w:szCs w:val="22"/>
            <w:lang w:eastAsia="en-AU"/>
          </w:rPr>
          <w:tab/>
        </w:r>
        <w:r w:rsidR="006644EB" w:rsidRPr="00F007C2">
          <w:rPr>
            <w:rStyle w:val="Hyperlink"/>
            <w:noProof/>
          </w:rPr>
          <w:t>Other revenue</w:t>
        </w:r>
        <w:r w:rsidR="006644EB">
          <w:rPr>
            <w:noProof/>
            <w:webHidden/>
          </w:rPr>
          <w:tab/>
        </w:r>
        <w:r w:rsidR="006644EB">
          <w:rPr>
            <w:noProof/>
            <w:webHidden/>
          </w:rPr>
          <w:fldChar w:fldCharType="begin"/>
        </w:r>
        <w:r w:rsidR="006644EB">
          <w:rPr>
            <w:noProof/>
            <w:webHidden/>
          </w:rPr>
          <w:instrText xml:space="preserve"> PAGEREF _Toc435107438 \h </w:instrText>
        </w:r>
        <w:r w:rsidR="006644EB">
          <w:rPr>
            <w:noProof/>
            <w:webHidden/>
          </w:rPr>
        </w:r>
        <w:r w:rsidR="006644EB">
          <w:rPr>
            <w:noProof/>
            <w:webHidden/>
          </w:rPr>
          <w:fldChar w:fldCharType="separate"/>
        </w:r>
        <w:r w:rsidR="006644EB">
          <w:rPr>
            <w:noProof/>
            <w:webHidden/>
          </w:rPr>
          <w:t>13</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39" w:history="1">
        <w:r w:rsidR="006644EB" w:rsidRPr="00F007C2">
          <w:rPr>
            <w:rStyle w:val="Hyperlink"/>
            <w:noProof/>
          </w:rPr>
          <w:t>Note 7:</w:t>
        </w:r>
        <w:r w:rsidR="006644EB">
          <w:rPr>
            <w:rFonts w:asciiTheme="minorHAnsi" w:eastAsiaTheme="minorEastAsia" w:hAnsiTheme="minorHAnsi" w:cstheme="minorBidi"/>
            <w:noProof/>
            <w:szCs w:val="22"/>
            <w:lang w:eastAsia="en-AU"/>
          </w:rPr>
          <w:tab/>
        </w:r>
        <w:r w:rsidR="006644EB" w:rsidRPr="00F007C2">
          <w:rPr>
            <w:rStyle w:val="Hyperlink"/>
            <w:noProof/>
          </w:rPr>
          <w:t>Superannuation</w:t>
        </w:r>
        <w:r w:rsidR="006644EB">
          <w:rPr>
            <w:noProof/>
            <w:webHidden/>
          </w:rPr>
          <w:tab/>
        </w:r>
        <w:r w:rsidR="006644EB">
          <w:rPr>
            <w:noProof/>
            <w:webHidden/>
          </w:rPr>
          <w:fldChar w:fldCharType="begin"/>
        </w:r>
        <w:r w:rsidR="006644EB">
          <w:rPr>
            <w:noProof/>
            <w:webHidden/>
          </w:rPr>
          <w:instrText xml:space="preserve"> PAGEREF _Toc435107439 \h </w:instrText>
        </w:r>
        <w:r w:rsidR="006644EB">
          <w:rPr>
            <w:noProof/>
            <w:webHidden/>
          </w:rPr>
        </w:r>
        <w:r w:rsidR="006644EB">
          <w:rPr>
            <w:noProof/>
            <w:webHidden/>
          </w:rPr>
          <w:fldChar w:fldCharType="separate"/>
        </w:r>
        <w:r w:rsidR="006644EB">
          <w:rPr>
            <w:noProof/>
            <w:webHidden/>
          </w:rPr>
          <w:t>13</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0" w:history="1">
        <w:r w:rsidR="006644EB" w:rsidRPr="00F007C2">
          <w:rPr>
            <w:rStyle w:val="Hyperlink"/>
            <w:noProof/>
          </w:rPr>
          <w:t>Note 8:</w:t>
        </w:r>
        <w:r w:rsidR="006644EB">
          <w:rPr>
            <w:rFonts w:asciiTheme="minorHAnsi" w:eastAsiaTheme="minorEastAsia" w:hAnsiTheme="minorHAnsi" w:cstheme="minorBidi"/>
            <w:noProof/>
            <w:szCs w:val="22"/>
            <w:lang w:eastAsia="en-AU"/>
          </w:rPr>
          <w:tab/>
        </w:r>
        <w:r w:rsidR="006644EB" w:rsidRPr="00F007C2">
          <w:rPr>
            <w:rStyle w:val="Hyperlink"/>
            <w:noProof/>
          </w:rPr>
          <w:t>Depreciation</w:t>
        </w:r>
        <w:r w:rsidR="006644EB">
          <w:rPr>
            <w:noProof/>
            <w:webHidden/>
          </w:rPr>
          <w:tab/>
        </w:r>
        <w:r w:rsidR="006644EB">
          <w:rPr>
            <w:noProof/>
            <w:webHidden/>
          </w:rPr>
          <w:fldChar w:fldCharType="begin"/>
        </w:r>
        <w:r w:rsidR="006644EB">
          <w:rPr>
            <w:noProof/>
            <w:webHidden/>
          </w:rPr>
          <w:instrText xml:space="preserve"> PAGEREF _Toc435107440 \h </w:instrText>
        </w:r>
        <w:r w:rsidR="006644EB">
          <w:rPr>
            <w:noProof/>
            <w:webHidden/>
          </w:rPr>
        </w:r>
        <w:r w:rsidR="006644EB">
          <w:rPr>
            <w:noProof/>
            <w:webHidden/>
          </w:rPr>
          <w:fldChar w:fldCharType="separate"/>
        </w:r>
        <w:r w:rsidR="006644EB">
          <w:rPr>
            <w:noProof/>
            <w:webHidden/>
          </w:rPr>
          <w:t>14</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1" w:history="1">
        <w:r w:rsidR="006644EB" w:rsidRPr="00F007C2">
          <w:rPr>
            <w:rStyle w:val="Hyperlink"/>
            <w:noProof/>
          </w:rPr>
          <w:t>Note 9:</w:t>
        </w:r>
        <w:r w:rsidR="006644EB">
          <w:rPr>
            <w:rFonts w:asciiTheme="minorHAnsi" w:eastAsiaTheme="minorEastAsia" w:hAnsiTheme="minorHAnsi" w:cstheme="minorBidi"/>
            <w:noProof/>
            <w:szCs w:val="22"/>
            <w:lang w:eastAsia="en-AU"/>
          </w:rPr>
          <w:tab/>
        </w:r>
        <w:r w:rsidR="006644EB" w:rsidRPr="00F007C2">
          <w:rPr>
            <w:rStyle w:val="Hyperlink"/>
            <w:noProof/>
          </w:rPr>
          <w:t>Expenses by government purpose and by department</w:t>
        </w:r>
        <w:r w:rsidR="006644EB">
          <w:rPr>
            <w:noProof/>
            <w:webHidden/>
          </w:rPr>
          <w:tab/>
        </w:r>
        <w:r w:rsidR="006644EB">
          <w:rPr>
            <w:noProof/>
            <w:webHidden/>
          </w:rPr>
          <w:fldChar w:fldCharType="begin"/>
        </w:r>
        <w:r w:rsidR="006644EB">
          <w:rPr>
            <w:noProof/>
            <w:webHidden/>
          </w:rPr>
          <w:instrText xml:space="preserve"> PAGEREF _Toc435107441 \h </w:instrText>
        </w:r>
        <w:r w:rsidR="006644EB">
          <w:rPr>
            <w:noProof/>
            <w:webHidden/>
          </w:rPr>
        </w:r>
        <w:r w:rsidR="006644EB">
          <w:rPr>
            <w:noProof/>
            <w:webHidden/>
          </w:rPr>
          <w:fldChar w:fldCharType="separate"/>
        </w:r>
        <w:r w:rsidR="006644EB">
          <w:rPr>
            <w:noProof/>
            <w:webHidden/>
          </w:rPr>
          <w:t>14</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2" w:history="1">
        <w:r w:rsidR="006644EB" w:rsidRPr="00F007C2">
          <w:rPr>
            <w:rStyle w:val="Hyperlink"/>
            <w:noProof/>
          </w:rPr>
          <w:t>Note 10:</w:t>
        </w:r>
        <w:r w:rsidR="006644EB">
          <w:rPr>
            <w:rFonts w:asciiTheme="minorHAnsi" w:eastAsiaTheme="minorEastAsia" w:hAnsiTheme="minorHAnsi" w:cstheme="minorBidi"/>
            <w:noProof/>
            <w:szCs w:val="22"/>
            <w:lang w:eastAsia="en-AU"/>
          </w:rPr>
          <w:tab/>
        </w:r>
        <w:r w:rsidR="006644EB" w:rsidRPr="00F007C2">
          <w:rPr>
            <w:rStyle w:val="Hyperlink"/>
            <w:noProof/>
          </w:rPr>
          <w:t>Other gains/(losses) from other economic flows</w:t>
        </w:r>
        <w:r w:rsidR="006644EB">
          <w:rPr>
            <w:noProof/>
            <w:webHidden/>
          </w:rPr>
          <w:tab/>
        </w:r>
        <w:r w:rsidR="006644EB">
          <w:rPr>
            <w:noProof/>
            <w:webHidden/>
          </w:rPr>
          <w:fldChar w:fldCharType="begin"/>
        </w:r>
        <w:r w:rsidR="006644EB">
          <w:rPr>
            <w:noProof/>
            <w:webHidden/>
          </w:rPr>
          <w:instrText xml:space="preserve"> PAGEREF _Toc435107442 \h </w:instrText>
        </w:r>
        <w:r w:rsidR="006644EB">
          <w:rPr>
            <w:noProof/>
            <w:webHidden/>
          </w:rPr>
        </w:r>
        <w:r w:rsidR="006644EB">
          <w:rPr>
            <w:noProof/>
            <w:webHidden/>
          </w:rPr>
          <w:fldChar w:fldCharType="separate"/>
        </w:r>
        <w:r w:rsidR="006644EB">
          <w:rPr>
            <w:noProof/>
            <w:webHidden/>
          </w:rPr>
          <w:t>16</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3" w:history="1">
        <w:r w:rsidR="006644EB" w:rsidRPr="00F007C2">
          <w:rPr>
            <w:rStyle w:val="Hyperlink"/>
            <w:noProof/>
          </w:rPr>
          <w:t>Note 11:</w:t>
        </w:r>
        <w:r w:rsidR="006644EB">
          <w:rPr>
            <w:rFonts w:asciiTheme="minorHAnsi" w:eastAsiaTheme="minorEastAsia" w:hAnsiTheme="minorHAnsi" w:cstheme="minorBidi"/>
            <w:noProof/>
            <w:szCs w:val="22"/>
            <w:lang w:eastAsia="en-AU"/>
          </w:rPr>
          <w:tab/>
        </w:r>
        <w:r w:rsidR="006644EB" w:rsidRPr="00F007C2">
          <w:rPr>
            <w:rStyle w:val="Hyperlink"/>
            <w:noProof/>
          </w:rPr>
          <w:t>Net acquisition of non-financial assets from transactions</w:t>
        </w:r>
        <w:r w:rsidR="006644EB">
          <w:rPr>
            <w:noProof/>
            <w:webHidden/>
          </w:rPr>
          <w:tab/>
        </w:r>
        <w:r w:rsidR="006644EB">
          <w:rPr>
            <w:noProof/>
            <w:webHidden/>
          </w:rPr>
          <w:fldChar w:fldCharType="begin"/>
        </w:r>
        <w:r w:rsidR="006644EB">
          <w:rPr>
            <w:noProof/>
            <w:webHidden/>
          </w:rPr>
          <w:instrText xml:space="preserve"> PAGEREF _Toc435107443 \h </w:instrText>
        </w:r>
        <w:r w:rsidR="006644EB">
          <w:rPr>
            <w:noProof/>
            <w:webHidden/>
          </w:rPr>
        </w:r>
        <w:r w:rsidR="006644EB">
          <w:rPr>
            <w:noProof/>
            <w:webHidden/>
          </w:rPr>
          <w:fldChar w:fldCharType="separate"/>
        </w:r>
        <w:r w:rsidR="006644EB">
          <w:rPr>
            <w:noProof/>
            <w:webHidden/>
          </w:rPr>
          <w:t>16</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4" w:history="1">
        <w:r w:rsidR="006644EB" w:rsidRPr="00F007C2">
          <w:rPr>
            <w:rStyle w:val="Hyperlink"/>
            <w:noProof/>
          </w:rPr>
          <w:t>Note 12:</w:t>
        </w:r>
        <w:r w:rsidR="006644EB">
          <w:rPr>
            <w:rFonts w:asciiTheme="minorHAnsi" w:eastAsiaTheme="minorEastAsia" w:hAnsiTheme="minorHAnsi" w:cstheme="minorBidi"/>
            <w:noProof/>
            <w:szCs w:val="22"/>
            <w:lang w:eastAsia="en-AU"/>
          </w:rPr>
          <w:tab/>
        </w:r>
        <w:r w:rsidR="006644EB" w:rsidRPr="00F007C2">
          <w:rPr>
            <w:rStyle w:val="Hyperlink"/>
            <w:noProof/>
          </w:rPr>
          <w:t>Receivables</w:t>
        </w:r>
        <w:r w:rsidR="006644EB">
          <w:rPr>
            <w:noProof/>
            <w:webHidden/>
          </w:rPr>
          <w:tab/>
        </w:r>
        <w:r w:rsidR="006644EB">
          <w:rPr>
            <w:noProof/>
            <w:webHidden/>
          </w:rPr>
          <w:fldChar w:fldCharType="begin"/>
        </w:r>
        <w:r w:rsidR="006644EB">
          <w:rPr>
            <w:noProof/>
            <w:webHidden/>
          </w:rPr>
          <w:instrText xml:space="preserve"> PAGEREF _Toc435107444 \h </w:instrText>
        </w:r>
        <w:r w:rsidR="006644EB">
          <w:rPr>
            <w:noProof/>
            <w:webHidden/>
          </w:rPr>
        </w:r>
        <w:r w:rsidR="006644EB">
          <w:rPr>
            <w:noProof/>
            <w:webHidden/>
          </w:rPr>
          <w:fldChar w:fldCharType="separate"/>
        </w:r>
        <w:r w:rsidR="006644EB">
          <w:rPr>
            <w:noProof/>
            <w:webHidden/>
          </w:rPr>
          <w:t>17</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5" w:history="1">
        <w:r w:rsidR="006644EB" w:rsidRPr="00F007C2">
          <w:rPr>
            <w:rStyle w:val="Hyperlink"/>
            <w:noProof/>
          </w:rPr>
          <w:t>Note 13:</w:t>
        </w:r>
        <w:r w:rsidR="006644EB">
          <w:rPr>
            <w:rFonts w:asciiTheme="minorHAnsi" w:eastAsiaTheme="minorEastAsia" w:hAnsiTheme="minorHAnsi" w:cstheme="minorBidi"/>
            <w:noProof/>
            <w:szCs w:val="22"/>
            <w:lang w:eastAsia="en-AU"/>
          </w:rPr>
          <w:tab/>
        </w:r>
        <w:r w:rsidR="006644EB" w:rsidRPr="00F007C2">
          <w:rPr>
            <w:rStyle w:val="Hyperlink"/>
            <w:noProof/>
          </w:rPr>
          <w:t>Land, buildings, infrastructure, plant and equipment</w:t>
        </w:r>
        <w:r w:rsidR="006644EB">
          <w:rPr>
            <w:noProof/>
            <w:webHidden/>
          </w:rPr>
          <w:tab/>
        </w:r>
        <w:r w:rsidR="006644EB">
          <w:rPr>
            <w:noProof/>
            <w:webHidden/>
          </w:rPr>
          <w:fldChar w:fldCharType="begin"/>
        </w:r>
        <w:r w:rsidR="006644EB">
          <w:rPr>
            <w:noProof/>
            <w:webHidden/>
          </w:rPr>
          <w:instrText xml:space="preserve"> PAGEREF _Toc435107445 \h </w:instrText>
        </w:r>
        <w:r w:rsidR="006644EB">
          <w:rPr>
            <w:noProof/>
            <w:webHidden/>
          </w:rPr>
        </w:r>
        <w:r w:rsidR="006644EB">
          <w:rPr>
            <w:noProof/>
            <w:webHidden/>
          </w:rPr>
          <w:fldChar w:fldCharType="separate"/>
        </w:r>
        <w:r w:rsidR="006644EB">
          <w:rPr>
            <w:noProof/>
            <w:webHidden/>
          </w:rPr>
          <w:t>18</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6" w:history="1">
        <w:r w:rsidR="006644EB" w:rsidRPr="00F007C2">
          <w:rPr>
            <w:rStyle w:val="Hyperlink"/>
            <w:noProof/>
          </w:rPr>
          <w:t>Note 14:</w:t>
        </w:r>
        <w:r w:rsidR="006644EB">
          <w:rPr>
            <w:rFonts w:asciiTheme="minorHAnsi" w:eastAsiaTheme="minorEastAsia" w:hAnsiTheme="minorHAnsi" w:cstheme="minorBidi"/>
            <w:noProof/>
            <w:szCs w:val="22"/>
            <w:lang w:eastAsia="en-AU"/>
          </w:rPr>
          <w:tab/>
        </w:r>
        <w:r w:rsidR="006644EB" w:rsidRPr="00F007C2">
          <w:rPr>
            <w:rStyle w:val="Hyperlink"/>
            <w:noProof/>
          </w:rPr>
          <w:t>Other non-financial assets</w:t>
        </w:r>
        <w:r w:rsidR="006644EB">
          <w:rPr>
            <w:noProof/>
            <w:webHidden/>
          </w:rPr>
          <w:tab/>
        </w:r>
        <w:r w:rsidR="006644EB">
          <w:rPr>
            <w:noProof/>
            <w:webHidden/>
          </w:rPr>
          <w:fldChar w:fldCharType="begin"/>
        </w:r>
        <w:r w:rsidR="006644EB">
          <w:rPr>
            <w:noProof/>
            <w:webHidden/>
          </w:rPr>
          <w:instrText xml:space="preserve"> PAGEREF _Toc435107446 \h </w:instrText>
        </w:r>
        <w:r w:rsidR="006644EB">
          <w:rPr>
            <w:noProof/>
            <w:webHidden/>
          </w:rPr>
        </w:r>
        <w:r w:rsidR="006644EB">
          <w:rPr>
            <w:noProof/>
            <w:webHidden/>
          </w:rPr>
          <w:fldChar w:fldCharType="separate"/>
        </w:r>
        <w:r w:rsidR="006644EB">
          <w:rPr>
            <w:noProof/>
            <w:webHidden/>
          </w:rPr>
          <w:t>20</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7" w:history="1">
        <w:r w:rsidR="006644EB" w:rsidRPr="00F007C2">
          <w:rPr>
            <w:rStyle w:val="Hyperlink"/>
            <w:noProof/>
          </w:rPr>
          <w:t>Note 15:</w:t>
        </w:r>
        <w:r w:rsidR="006644EB">
          <w:rPr>
            <w:rFonts w:asciiTheme="minorHAnsi" w:eastAsiaTheme="minorEastAsia" w:hAnsiTheme="minorHAnsi" w:cstheme="minorBidi"/>
            <w:noProof/>
            <w:szCs w:val="22"/>
            <w:lang w:eastAsia="en-AU"/>
          </w:rPr>
          <w:tab/>
        </w:r>
        <w:r w:rsidR="006644EB" w:rsidRPr="00F007C2">
          <w:rPr>
            <w:rStyle w:val="Hyperlink"/>
            <w:noProof/>
          </w:rPr>
          <w:t>Assets by government purpose and by department</w:t>
        </w:r>
        <w:r w:rsidR="006644EB">
          <w:rPr>
            <w:noProof/>
            <w:webHidden/>
          </w:rPr>
          <w:tab/>
        </w:r>
        <w:r w:rsidR="006644EB">
          <w:rPr>
            <w:noProof/>
            <w:webHidden/>
          </w:rPr>
          <w:fldChar w:fldCharType="begin"/>
        </w:r>
        <w:r w:rsidR="006644EB">
          <w:rPr>
            <w:noProof/>
            <w:webHidden/>
          </w:rPr>
          <w:instrText xml:space="preserve"> PAGEREF _Toc435107447 \h </w:instrText>
        </w:r>
        <w:r w:rsidR="006644EB">
          <w:rPr>
            <w:noProof/>
            <w:webHidden/>
          </w:rPr>
        </w:r>
        <w:r w:rsidR="006644EB">
          <w:rPr>
            <w:noProof/>
            <w:webHidden/>
          </w:rPr>
          <w:fldChar w:fldCharType="separate"/>
        </w:r>
        <w:r w:rsidR="006644EB">
          <w:rPr>
            <w:noProof/>
            <w:webHidden/>
          </w:rPr>
          <w:t>21</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8" w:history="1">
        <w:r w:rsidR="006644EB" w:rsidRPr="00F007C2">
          <w:rPr>
            <w:rStyle w:val="Hyperlink"/>
            <w:noProof/>
          </w:rPr>
          <w:t>Note 16:</w:t>
        </w:r>
        <w:r w:rsidR="006644EB">
          <w:rPr>
            <w:rFonts w:asciiTheme="minorHAnsi" w:eastAsiaTheme="minorEastAsia" w:hAnsiTheme="minorHAnsi" w:cstheme="minorBidi"/>
            <w:noProof/>
            <w:szCs w:val="22"/>
            <w:lang w:eastAsia="en-AU"/>
          </w:rPr>
          <w:tab/>
        </w:r>
        <w:r w:rsidR="006644EB" w:rsidRPr="00F007C2">
          <w:rPr>
            <w:rStyle w:val="Hyperlink"/>
            <w:noProof/>
          </w:rPr>
          <w:t>Payables</w:t>
        </w:r>
        <w:r w:rsidR="006644EB">
          <w:rPr>
            <w:noProof/>
            <w:webHidden/>
          </w:rPr>
          <w:tab/>
        </w:r>
        <w:r w:rsidR="006644EB">
          <w:rPr>
            <w:noProof/>
            <w:webHidden/>
          </w:rPr>
          <w:fldChar w:fldCharType="begin"/>
        </w:r>
        <w:r w:rsidR="006644EB">
          <w:rPr>
            <w:noProof/>
            <w:webHidden/>
          </w:rPr>
          <w:instrText xml:space="preserve"> PAGEREF _Toc435107448 \h </w:instrText>
        </w:r>
        <w:r w:rsidR="006644EB">
          <w:rPr>
            <w:noProof/>
            <w:webHidden/>
          </w:rPr>
        </w:r>
        <w:r w:rsidR="006644EB">
          <w:rPr>
            <w:noProof/>
            <w:webHidden/>
          </w:rPr>
          <w:fldChar w:fldCharType="separate"/>
        </w:r>
        <w:r w:rsidR="006644EB">
          <w:rPr>
            <w:noProof/>
            <w:webHidden/>
          </w:rPr>
          <w:t>23</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49" w:history="1">
        <w:r w:rsidR="006644EB" w:rsidRPr="00F007C2">
          <w:rPr>
            <w:rStyle w:val="Hyperlink"/>
            <w:noProof/>
          </w:rPr>
          <w:t>Note 17:</w:t>
        </w:r>
        <w:r w:rsidR="006644EB">
          <w:rPr>
            <w:rFonts w:asciiTheme="minorHAnsi" w:eastAsiaTheme="minorEastAsia" w:hAnsiTheme="minorHAnsi" w:cstheme="minorBidi"/>
            <w:noProof/>
            <w:szCs w:val="22"/>
            <w:lang w:eastAsia="en-AU"/>
          </w:rPr>
          <w:tab/>
        </w:r>
        <w:r w:rsidR="006644EB" w:rsidRPr="00F007C2">
          <w:rPr>
            <w:rStyle w:val="Hyperlink"/>
            <w:noProof/>
          </w:rPr>
          <w:t>Employee benefits</w:t>
        </w:r>
        <w:r w:rsidR="006644EB">
          <w:rPr>
            <w:noProof/>
            <w:webHidden/>
          </w:rPr>
          <w:tab/>
        </w:r>
        <w:r w:rsidR="006644EB">
          <w:rPr>
            <w:noProof/>
            <w:webHidden/>
          </w:rPr>
          <w:fldChar w:fldCharType="begin"/>
        </w:r>
        <w:r w:rsidR="006644EB">
          <w:rPr>
            <w:noProof/>
            <w:webHidden/>
          </w:rPr>
          <w:instrText xml:space="preserve"> PAGEREF _Toc435107449 \h </w:instrText>
        </w:r>
        <w:r w:rsidR="006644EB">
          <w:rPr>
            <w:noProof/>
            <w:webHidden/>
          </w:rPr>
        </w:r>
        <w:r w:rsidR="006644EB">
          <w:rPr>
            <w:noProof/>
            <w:webHidden/>
          </w:rPr>
          <w:fldChar w:fldCharType="separate"/>
        </w:r>
        <w:r w:rsidR="006644EB">
          <w:rPr>
            <w:noProof/>
            <w:webHidden/>
          </w:rPr>
          <w:t>23</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50" w:history="1">
        <w:r w:rsidR="006644EB" w:rsidRPr="00F007C2">
          <w:rPr>
            <w:rStyle w:val="Hyperlink"/>
            <w:noProof/>
          </w:rPr>
          <w:t xml:space="preserve">Note 18: </w:t>
        </w:r>
        <w:r w:rsidR="006644EB">
          <w:rPr>
            <w:rFonts w:asciiTheme="minorHAnsi" w:eastAsiaTheme="minorEastAsia" w:hAnsiTheme="minorHAnsi" w:cstheme="minorBidi"/>
            <w:noProof/>
            <w:szCs w:val="22"/>
            <w:lang w:eastAsia="en-AU"/>
          </w:rPr>
          <w:tab/>
        </w:r>
        <w:r w:rsidR="006644EB" w:rsidRPr="00F007C2">
          <w:rPr>
            <w:rStyle w:val="Hyperlink"/>
            <w:noProof/>
          </w:rPr>
          <w:t>Cash flow information</w:t>
        </w:r>
        <w:r w:rsidR="006644EB">
          <w:rPr>
            <w:noProof/>
            <w:webHidden/>
          </w:rPr>
          <w:tab/>
        </w:r>
        <w:r w:rsidR="006644EB">
          <w:rPr>
            <w:noProof/>
            <w:webHidden/>
          </w:rPr>
          <w:fldChar w:fldCharType="begin"/>
        </w:r>
        <w:r w:rsidR="006644EB">
          <w:rPr>
            <w:noProof/>
            <w:webHidden/>
          </w:rPr>
          <w:instrText xml:space="preserve"> PAGEREF _Toc435107450 \h </w:instrText>
        </w:r>
        <w:r w:rsidR="006644EB">
          <w:rPr>
            <w:noProof/>
            <w:webHidden/>
          </w:rPr>
        </w:r>
        <w:r w:rsidR="006644EB">
          <w:rPr>
            <w:noProof/>
            <w:webHidden/>
          </w:rPr>
          <w:fldChar w:fldCharType="separate"/>
        </w:r>
        <w:r w:rsidR="006644EB">
          <w:rPr>
            <w:noProof/>
            <w:webHidden/>
          </w:rPr>
          <w:t>24</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51" w:history="1">
        <w:r w:rsidR="006644EB" w:rsidRPr="00F007C2">
          <w:rPr>
            <w:rStyle w:val="Hyperlink"/>
            <w:noProof/>
          </w:rPr>
          <w:t>Note 19:</w:t>
        </w:r>
        <w:r w:rsidR="006644EB">
          <w:rPr>
            <w:rFonts w:asciiTheme="minorHAnsi" w:eastAsiaTheme="minorEastAsia" w:hAnsiTheme="minorHAnsi" w:cstheme="minorBidi"/>
            <w:noProof/>
            <w:szCs w:val="22"/>
            <w:lang w:eastAsia="en-AU"/>
          </w:rPr>
          <w:tab/>
        </w:r>
        <w:r w:rsidR="006644EB" w:rsidRPr="00F007C2">
          <w:rPr>
            <w:rStyle w:val="Hyperlink"/>
            <w:noProof/>
          </w:rPr>
          <w:t>Public Account</w:t>
        </w:r>
        <w:r w:rsidR="006644EB">
          <w:rPr>
            <w:noProof/>
            <w:webHidden/>
          </w:rPr>
          <w:tab/>
        </w:r>
        <w:r w:rsidR="006644EB">
          <w:rPr>
            <w:noProof/>
            <w:webHidden/>
          </w:rPr>
          <w:fldChar w:fldCharType="begin"/>
        </w:r>
        <w:r w:rsidR="006644EB">
          <w:rPr>
            <w:noProof/>
            <w:webHidden/>
          </w:rPr>
          <w:instrText xml:space="preserve"> PAGEREF _Toc435107451 \h </w:instrText>
        </w:r>
        <w:r w:rsidR="006644EB">
          <w:rPr>
            <w:noProof/>
            <w:webHidden/>
          </w:rPr>
        </w:r>
        <w:r w:rsidR="006644EB">
          <w:rPr>
            <w:noProof/>
            <w:webHidden/>
          </w:rPr>
          <w:fldChar w:fldCharType="separate"/>
        </w:r>
        <w:r w:rsidR="006644EB">
          <w:rPr>
            <w:noProof/>
            <w:webHidden/>
          </w:rPr>
          <w:t>25</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52" w:history="1">
        <w:r w:rsidR="006644EB" w:rsidRPr="00F007C2">
          <w:rPr>
            <w:rStyle w:val="Hyperlink"/>
            <w:noProof/>
          </w:rPr>
          <w:t>Note 20:</w:t>
        </w:r>
        <w:r w:rsidR="006644EB">
          <w:rPr>
            <w:rFonts w:asciiTheme="minorHAnsi" w:eastAsiaTheme="minorEastAsia" w:hAnsiTheme="minorHAnsi" w:cstheme="minorBidi"/>
            <w:noProof/>
            <w:szCs w:val="22"/>
            <w:lang w:eastAsia="en-AU"/>
          </w:rPr>
          <w:tab/>
        </w:r>
        <w:r w:rsidR="006644EB" w:rsidRPr="00F007C2">
          <w:rPr>
            <w:rStyle w:val="Hyperlink"/>
            <w:noProof/>
          </w:rPr>
          <w:t>Glossary of technical terms</w:t>
        </w:r>
        <w:r w:rsidR="006644EB">
          <w:rPr>
            <w:noProof/>
            <w:webHidden/>
          </w:rPr>
          <w:tab/>
        </w:r>
        <w:r w:rsidR="006644EB">
          <w:rPr>
            <w:noProof/>
            <w:webHidden/>
          </w:rPr>
          <w:fldChar w:fldCharType="begin"/>
        </w:r>
        <w:r w:rsidR="006644EB">
          <w:rPr>
            <w:noProof/>
            <w:webHidden/>
          </w:rPr>
          <w:instrText xml:space="preserve"> PAGEREF _Toc435107452 \h </w:instrText>
        </w:r>
        <w:r w:rsidR="006644EB">
          <w:rPr>
            <w:noProof/>
            <w:webHidden/>
          </w:rPr>
        </w:r>
        <w:r w:rsidR="006644EB">
          <w:rPr>
            <w:noProof/>
            <w:webHidden/>
          </w:rPr>
          <w:fldChar w:fldCharType="separate"/>
        </w:r>
        <w:r w:rsidR="006644EB">
          <w:rPr>
            <w:noProof/>
            <w:webHidden/>
          </w:rPr>
          <w:t>28</w:t>
        </w:r>
        <w:r w:rsidR="006644EB">
          <w:rPr>
            <w:noProof/>
            <w:webHidden/>
          </w:rPr>
          <w:fldChar w:fldCharType="end"/>
        </w:r>
      </w:hyperlink>
    </w:p>
    <w:p w:rsidR="006644EB" w:rsidRDefault="00706958">
      <w:pPr>
        <w:pStyle w:val="TOC4"/>
        <w:rPr>
          <w:rFonts w:asciiTheme="minorHAnsi" w:eastAsiaTheme="minorEastAsia" w:hAnsiTheme="minorHAnsi" w:cstheme="minorBidi"/>
          <w:noProof/>
          <w:szCs w:val="22"/>
          <w:lang w:eastAsia="en-AU"/>
        </w:rPr>
      </w:pPr>
      <w:hyperlink w:anchor="_Toc435107453" w:history="1">
        <w:r w:rsidR="006644EB" w:rsidRPr="00F007C2">
          <w:rPr>
            <w:rStyle w:val="Hyperlink"/>
            <w:noProof/>
          </w:rPr>
          <w:t>Note 21:</w:t>
        </w:r>
        <w:r w:rsidR="006644EB">
          <w:rPr>
            <w:rFonts w:asciiTheme="minorHAnsi" w:eastAsiaTheme="minorEastAsia" w:hAnsiTheme="minorHAnsi" w:cstheme="minorBidi"/>
            <w:noProof/>
            <w:szCs w:val="22"/>
            <w:lang w:eastAsia="en-AU"/>
          </w:rPr>
          <w:tab/>
        </w:r>
        <w:r w:rsidR="006644EB" w:rsidRPr="00F007C2">
          <w:rPr>
            <w:rStyle w:val="Hyperlink"/>
            <w:noProof/>
          </w:rPr>
          <w:t>Controlled entities</w:t>
        </w:r>
        <w:r w:rsidR="006644EB">
          <w:rPr>
            <w:noProof/>
            <w:webHidden/>
          </w:rPr>
          <w:tab/>
        </w:r>
        <w:r w:rsidR="006644EB">
          <w:rPr>
            <w:noProof/>
            <w:webHidden/>
          </w:rPr>
          <w:fldChar w:fldCharType="begin"/>
        </w:r>
        <w:r w:rsidR="006644EB">
          <w:rPr>
            <w:noProof/>
            <w:webHidden/>
          </w:rPr>
          <w:instrText xml:space="preserve"> PAGEREF _Toc435107453 \h </w:instrText>
        </w:r>
        <w:r w:rsidR="006644EB">
          <w:rPr>
            <w:noProof/>
            <w:webHidden/>
          </w:rPr>
        </w:r>
        <w:r w:rsidR="006644EB">
          <w:rPr>
            <w:noProof/>
            <w:webHidden/>
          </w:rPr>
          <w:fldChar w:fldCharType="separate"/>
        </w:r>
        <w:r w:rsidR="006644EB">
          <w:rPr>
            <w:noProof/>
            <w:webHidden/>
          </w:rPr>
          <w:t>28</w:t>
        </w:r>
        <w:r w:rsidR="006644EB">
          <w:rPr>
            <w:noProof/>
            <w:webHidden/>
          </w:rPr>
          <w:fldChar w:fldCharType="end"/>
        </w:r>
      </w:hyperlink>
    </w:p>
    <w:p w:rsidR="00283E0D" w:rsidRDefault="00283E0D" w:rsidP="00283E0D">
      <w:r>
        <w:fldChar w:fldCharType="end"/>
      </w:r>
    </w:p>
    <w:p w:rsidR="00283E0D" w:rsidRDefault="00283E0D" w:rsidP="00283E0D"/>
    <w:p w:rsidR="00283E0D" w:rsidRDefault="00283E0D" w:rsidP="00A55FBD">
      <w:pPr>
        <w:pStyle w:val="Heading2NotesQtrly"/>
      </w:pPr>
      <w:r>
        <w:br w:type="page"/>
      </w:r>
      <w:bookmarkStart w:id="11" w:name="_Toc435107433"/>
      <w:r w:rsidR="006F5631">
        <w:lastRenderedPageBreak/>
        <w:t xml:space="preserve">Note 1: </w:t>
      </w:r>
      <w:r w:rsidR="006F5631">
        <w:tab/>
        <w:t>S</w:t>
      </w:r>
      <w:r w:rsidRPr="00A55FBD">
        <w:t>ummary</w:t>
      </w:r>
      <w:r>
        <w:t xml:space="preserve"> of significant accounting policies</w:t>
      </w:r>
      <w:bookmarkEnd w:id="11"/>
    </w:p>
    <w:p w:rsidR="00A24877" w:rsidRPr="009246FC" w:rsidRDefault="00A24877" w:rsidP="00A24877">
      <w:pPr>
        <w:rPr>
          <w:highlight w:val="yellow"/>
        </w:rPr>
      </w:pPr>
      <w:r>
        <w:t>This September Quarter</w:t>
      </w:r>
      <w:r w:rsidR="0082513C">
        <w:t>ly</w:t>
      </w:r>
      <w:r>
        <w:t xml:space="preserve"> Financial Report presents the unaudited consolidated financial report for the general government sector for the three months ended 30 September 2015.</w:t>
      </w:r>
    </w:p>
    <w:p w:rsidR="00A24877" w:rsidRDefault="00A24877" w:rsidP="00A24877">
      <w:r w:rsidRPr="00FC137E">
        <w:t xml:space="preserve">The accounting policies applied are consistent with those applied for the financial statements published in the </w:t>
      </w:r>
      <w:r w:rsidRPr="00FC137E">
        <w:rPr>
          <w:i/>
        </w:rPr>
        <w:t>2014</w:t>
      </w:r>
      <w:r w:rsidRPr="00FC137E">
        <w:rPr>
          <w:i/>
        </w:rPr>
        <w:noBreakHyphen/>
        <w:t>15 Financial Report</w:t>
      </w:r>
      <w:r w:rsidRPr="00FC137E">
        <w:t xml:space="preserve"> for the State of Victoria.</w:t>
      </w:r>
      <w:r>
        <w:t xml:space="preserve"> </w:t>
      </w:r>
      <w:r w:rsidRPr="00FC137E">
        <w:t>Because this quarterly financial report does not include all the notes normally included with t</w:t>
      </w:r>
      <w:r>
        <w:t>he annual financial report</w:t>
      </w:r>
      <w:r w:rsidRPr="00FC137E">
        <w:t xml:space="preserve">, this report should be read in conjunction with </w:t>
      </w:r>
      <w:r>
        <w:t xml:space="preserve">the </w:t>
      </w:r>
      <w:r w:rsidRPr="009246FC">
        <w:rPr>
          <w:i/>
        </w:rPr>
        <w:t>2014-15 Financial Report</w:t>
      </w:r>
      <w:r>
        <w:t>.</w:t>
      </w:r>
    </w:p>
    <w:p w:rsidR="00A24877" w:rsidRPr="009C433E" w:rsidRDefault="00A24877" w:rsidP="009C433E">
      <w:pPr>
        <w:pStyle w:val="Heading3Numbering"/>
      </w:pPr>
      <w:r w:rsidRPr="009C433E">
        <w:t>Statement of compliance</w:t>
      </w:r>
    </w:p>
    <w:p w:rsidR="00A24877" w:rsidRDefault="00A24877" w:rsidP="00A24877">
      <w:r>
        <w:t xml:space="preserve">These financial statements have been prepared in accordance with </w:t>
      </w:r>
      <w:r w:rsidR="003D648C" w:rsidRPr="00A85A41">
        <w:t>s</w:t>
      </w:r>
      <w:r w:rsidR="003D648C">
        <w:t>ection </w:t>
      </w:r>
      <w:r w:rsidR="003D648C" w:rsidRPr="00A85A41">
        <w:t>26</w:t>
      </w:r>
      <w:r w:rsidR="003D648C">
        <w:t xml:space="preserve"> of </w:t>
      </w:r>
      <w:r>
        <w:t xml:space="preserve">the </w:t>
      </w:r>
      <w:r>
        <w:rPr>
          <w:i/>
        </w:rPr>
        <w:t>Financial Management Act 1994</w:t>
      </w:r>
      <w:r w:rsidR="0097401A">
        <w:t xml:space="preserve">, </w:t>
      </w:r>
      <w:r>
        <w:t xml:space="preserve">having regard to the recognition and measurement principles of the applicable Australian Accounting Standards (AAS) which include Interpretations issued by the Australian Accounting Standards Board (AASB). The financial statements are also presented in a manner consistent with the requirements of AASB 1049 </w:t>
      </w:r>
      <w:r>
        <w:rPr>
          <w:i/>
        </w:rPr>
        <w:t>Whole of Government and General Government Sector Financial Reporting</w:t>
      </w:r>
      <w:r>
        <w:t>.</w:t>
      </w:r>
    </w:p>
    <w:p w:rsidR="00A24877" w:rsidRPr="00CE6E8E" w:rsidRDefault="00A24877" w:rsidP="00A24877">
      <w:pPr>
        <w:ind w:right="-235"/>
      </w:pPr>
      <w:r w:rsidRPr="00CE6E8E">
        <w:t>Where applicable, those paragraphs of AASs applicable to not-for-profit entities have been applied.</w:t>
      </w:r>
    </w:p>
    <w:p w:rsidR="00A24877" w:rsidRPr="009C433E" w:rsidRDefault="00A24877" w:rsidP="009C433E">
      <w:pPr>
        <w:pStyle w:val="Heading3Numbering"/>
      </w:pPr>
      <w:r w:rsidRPr="009C433E">
        <w:t>Basis of accounting and measurement</w:t>
      </w:r>
    </w:p>
    <w:p w:rsidR="00A24877" w:rsidRDefault="00A24877" w:rsidP="00A24877">
      <w:r>
        <w:t>The accrual basis of accounting has been applied in the preparation of these financial statements, whereby assets, liabilities, equity, revenue and expenses are recognised in the reporting period to which they relate, regardless of when cash is received or paid.</w:t>
      </w:r>
    </w:p>
    <w:p w:rsidR="00A24877" w:rsidRPr="009C433E" w:rsidRDefault="00A24877" w:rsidP="009C433E">
      <w:pPr>
        <w:pStyle w:val="Heading3Numbering"/>
      </w:pPr>
      <w:r w:rsidRPr="009C433E">
        <w:t>Reporting entity</w:t>
      </w:r>
    </w:p>
    <w:p w:rsidR="00A24877" w:rsidRDefault="00A24877" w:rsidP="00A24877">
      <w:r>
        <w:t>The general government sector includes all government departments, offices and other government bodies engaged in providing services free of charge or at prices significantly below their cost of production.</w:t>
      </w:r>
      <w:r w:rsidRPr="006751D0">
        <w:t xml:space="preserve"> </w:t>
      </w:r>
      <w:r>
        <w:t>The primary function of entities in the general government sector is to provide public services (outputs), which are mainly non</w:t>
      </w:r>
      <w:r>
        <w:noBreakHyphen/>
        <w:t>market in nature, for the collective consumption of the community, and involve the transfer or redistribution of revenue that is financed mainly through taxes and other compulsory levies.</w:t>
      </w:r>
    </w:p>
    <w:p w:rsidR="00A24877" w:rsidRDefault="00A24877" w:rsidP="00A24877">
      <w:r>
        <w:t xml:space="preserve">The general government sector is not a separate entity but represents a sector within the State of Victoria </w:t>
      </w:r>
      <w:r w:rsidR="006F5631">
        <w:t>consolidated</w:t>
      </w:r>
      <w:r>
        <w:t xml:space="preserve"> reporting entity. Unless otherwise noted, accounting policies applied by the State of Victoria apply equally to the general government sector.</w:t>
      </w:r>
    </w:p>
    <w:p w:rsidR="00A24877" w:rsidRPr="009C433E" w:rsidRDefault="00A24877" w:rsidP="009C433E">
      <w:pPr>
        <w:pStyle w:val="Heading3Numbering"/>
      </w:pPr>
      <w:r w:rsidRPr="009C433E">
        <w:t>Basis of consolidation</w:t>
      </w:r>
    </w:p>
    <w:p w:rsidR="00A24877" w:rsidRDefault="00A24877" w:rsidP="00A24877">
      <w:r>
        <w:t>The September Quarter</w:t>
      </w:r>
      <w:r w:rsidR="0082513C">
        <w:t>ly</w:t>
      </w:r>
      <w:r>
        <w:t xml:space="preserve"> Financial Report includes </w:t>
      </w:r>
      <w:r w:rsidRPr="0012550E">
        <w:t xml:space="preserve">all reporting entities in the general government sector </w:t>
      </w:r>
      <w:r>
        <w:t xml:space="preserve">that are controlled by the State. Information on entities consolidated for the general government sector is included in </w:t>
      </w:r>
      <w:r w:rsidRPr="00B05683">
        <w:t xml:space="preserve">Note </w:t>
      </w:r>
      <w:r w:rsidR="007F4BC6" w:rsidRPr="00B05683">
        <w:t>2</w:t>
      </w:r>
      <w:r w:rsidRPr="00B05683">
        <w:t>1</w:t>
      </w:r>
      <w:r w:rsidRPr="0069094A">
        <w:t>.</w:t>
      </w:r>
      <w:r>
        <w:t xml:space="preserve"> In the pro</w:t>
      </w:r>
      <w:r w:rsidR="00D41CAA">
        <w:t xml:space="preserve">cess of reporting the </w:t>
      </w:r>
      <w:r>
        <w:t>general government sector as a single economic entity, all material transactions and balances in the sector are eliminated.</w:t>
      </w:r>
    </w:p>
    <w:p w:rsidR="00E90551" w:rsidRDefault="00457242" w:rsidP="00494B5B">
      <w:pPr>
        <w:spacing w:after="0"/>
        <w:rPr>
          <w:rFonts w:ascii="Times New Roman" w:hAnsi="Times New Roman"/>
          <w:sz w:val="20"/>
          <w:lang w:eastAsia="en-AU"/>
        </w:rPr>
      </w:pPr>
      <w:r>
        <w:br w:type="page"/>
      </w:r>
    </w:p>
    <w:p w:rsidR="009A3756" w:rsidRDefault="009A3756" w:rsidP="009A3756">
      <w:pPr>
        <w:pStyle w:val="Heading2NotesQtrly"/>
      </w:pPr>
      <w:bookmarkStart w:id="12" w:name="_Toc435107434"/>
      <w:r w:rsidRPr="009A3756">
        <w:lastRenderedPageBreak/>
        <w:t>Note 2:</w:t>
      </w:r>
      <w:r w:rsidRPr="009A3756">
        <w:tab/>
      </w:r>
      <w:r>
        <w:t>Taxation revenue</w:t>
      </w:r>
      <w:bookmarkEnd w:id="12"/>
    </w:p>
    <w:tbl>
      <w:tblPr>
        <w:tblW w:w="10487" w:type="dxa"/>
        <w:tblInd w:w="28" w:type="dxa"/>
        <w:tblLayout w:type="fixed"/>
        <w:tblCellMar>
          <w:left w:w="28" w:type="dxa"/>
          <w:right w:w="28" w:type="dxa"/>
        </w:tblCellMar>
        <w:tblLook w:val="0000" w:firstRow="0" w:lastRow="0" w:firstColumn="0" w:lastColumn="0" w:noHBand="0" w:noVBand="0"/>
      </w:tblPr>
      <w:tblGrid>
        <w:gridCol w:w="1134"/>
        <w:gridCol w:w="6235"/>
        <w:gridCol w:w="1134"/>
        <w:gridCol w:w="1134"/>
        <w:gridCol w:w="283"/>
        <w:gridCol w:w="283"/>
        <w:gridCol w:w="284"/>
      </w:tblGrid>
      <w:tr w:rsidR="00E90551" w:rsidRPr="00E90551" w:rsidTr="009A3756">
        <w:trPr>
          <w:cantSplit/>
          <w:tblHeader/>
        </w:trPr>
        <w:tc>
          <w:tcPr>
            <w:tcW w:w="9637" w:type="dxa"/>
            <w:gridSpan w:val="4"/>
            <w:tcBorders>
              <w:top w:val="nil"/>
              <w:left w:val="nil"/>
              <w:bottom w:val="nil"/>
              <w:right w:val="nil"/>
            </w:tcBorders>
          </w:tcPr>
          <w:p w:rsidR="00E90551" w:rsidRPr="00E90551" w:rsidRDefault="00E90551" w:rsidP="00E90551">
            <w:pPr>
              <w:pStyle w:val="million"/>
              <w:rPr>
                <w:rFonts w:eastAsiaTheme="minorEastAsia"/>
                <w:lang w:eastAsia="en-AU"/>
              </w:rPr>
            </w:pPr>
            <w:r w:rsidRPr="00E90551">
              <w:rPr>
                <w:rFonts w:eastAsiaTheme="minorEastAsia"/>
                <w:lang w:eastAsia="en-AU"/>
              </w:rPr>
              <w:t>($ million)</w:t>
            </w:r>
          </w:p>
        </w:tc>
        <w:tc>
          <w:tcPr>
            <w:tcW w:w="283" w:type="dxa"/>
            <w:tcBorders>
              <w:top w:val="nil"/>
              <w:left w:val="nil"/>
              <w:bottom w:val="nil"/>
              <w:right w:val="nil"/>
            </w:tcBorders>
          </w:tcPr>
          <w:p w:rsidR="00E90551" w:rsidRPr="00E90551" w:rsidRDefault="00E90551" w:rsidP="00E90551">
            <w:pPr>
              <w:pStyle w:val="million"/>
              <w:rPr>
                <w:rFonts w:eastAsiaTheme="minorEastAsia"/>
                <w:lang w:eastAsia="en-AU"/>
              </w:rPr>
            </w:pPr>
            <w:r w:rsidRPr="00E90551">
              <w:rPr>
                <w:rFonts w:eastAsiaTheme="minorEastAsia"/>
                <w:lang w:eastAsia="en-AU"/>
              </w:rPr>
              <w:t xml:space="preserve"> </w:t>
            </w:r>
          </w:p>
        </w:tc>
        <w:tc>
          <w:tcPr>
            <w:tcW w:w="283" w:type="dxa"/>
            <w:tcBorders>
              <w:top w:val="nil"/>
              <w:left w:val="nil"/>
              <w:bottom w:val="nil"/>
              <w:right w:val="nil"/>
            </w:tcBorders>
          </w:tcPr>
          <w:p w:rsidR="00E90551" w:rsidRPr="00E90551" w:rsidRDefault="00E90551" w:rsidP="00E90551">
            <w:pPr>
              <w:pStyle w:val="million"/>
              <w:rPr>
                <w:rFonts w:eastAsiaTheme="minorEastAsia"/>
                <w:lang w:eastAsia="en-AU"/>
              </w:rPr>
            </w:pPr>
            <w:r w:rsidRPr="00E90551">
              <w:rPr>
                <w:rFonts w:eastAsiaTheme="minorEastAsia"/>
                <w:lang w:eastAsia="en-AU"/>
              </w:rPr>
              <w:t xml:space="preserve"> </w:t>
            </w:r>
          </w:p>
        </w:tc>
        <w:tc>
          <w:tcPr>
            <w:tcW w:w="284" w:type="dxa"/>
            <w:tcBorders>
              <w:top w:val="nil"/>
              <w:left w:val="nil"/>
              <w:bottom w:val="nil"/>
              <w:right w:val="nil"/>
            </w:tcBorders>
          </w:tcPr>
          <w:p w:rsidR="00E90551" w:rsidRPr="00E90551" w:rsidRDefault="00E90551" w:rsidP="00E90551">
            <w:pPr>
              <w:pStyle w:val="million"/>
              <w:rPr>
                <w:rFonts w:eastAsiaTheme="minorEastAsia"/>
                <w:lang w:eastAsia="en-AU"/>
              </w:rPr>
            </w:pPr>
            <w:r w:rsidRPr="00E90551">
              <w:rPr>
                <w:rFonts w:eastAsiaTheme="minorEastAsia"/>
                <w:lang w:eastAsia="en-AU"/>
              </w:rPr>
              <w:t xml:space="preserve"> </w:t>
            </w:r>
          </w:p>
        </w:tc>
      </w:tr>
      <w:tr w:rsidR="00DB2687" w:rsidRPr="00E90551" w:rsidTr="001F284A">
        <w:trPr>
          <w:gridAfter w:val="3"/>
          <w:wAfter w:w="850" w:type="dxa"/>
          <w:cantSplit/>
          <w:tblHeader/>
        </w:trPr>
        <w:tc>
          <w:tcPr>
            <w:tcW w:w="1134"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2014-15 </w:t>
            </w:r>
          </w:p>
        </w:tc>
        <w:tc>
          <w:tcPr>
            <w:tcW w:w="6235"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2268" w:type="dxa"/>
            <w:gridSpan w:val="2"/>
            <w:tcBorders>
              <w:top w:val="nil"/>
              <w:left w:val="nil"/>
              <w:bottom w:val="nil"/>
              <w:right w:val="nil"/>
            </w:tcBorders>
            <w:shd w:val="solid" w:color="000000" w:fill="auto"/>
          </w:tcPr>
          <w:p w:rsidR="00DB2687" w:rsidRPr="00DB2687" w:rsidRDefault="00DB2687" w:rsidP="00DB2687">
            <w:pPr>
              <w:autoSpaceDE w:val="0"/>
              <w:autoSpaceDN w:val="0"/>
              <w:adjustRightInd w:val="0"/>
              <w:spacing w:after="0"/>
              <w:jc w:val="center"/>
              <w:rPr>
                <w:rFonts w:ascii="Calibri" w:eastAsiaTheme="minorEastAsia" w:hAnsi="Calibri" w:cs="Calibri"/>
                <w:color w:val="000000"/>
                <w:sz w:val="22"/>
                <w:szCs w:val="22"/>
                <w:lang w:eastAsia="en-AU"/>
              </w:rPr>
            </w:pPr>
            <w:r w:rsidRPr="00E90551">
              <w:rPr>
                <w:rFonts w:ascii="Calibri" w:eastAsiaTheme="minorEastAsia" w:hAnsi="Calibri" w:cs="Calibri"/>
                <w:i/>
                <w:iCs/>
                <w:color w:val="FFFFFF"/>
                <w:sz w:val="22"/>
                <w:szCs w:val="22"/>
                <w:lang w:eastAsia="en-AU"/>
              </w:rPr>
              <w:t>2015-16</w:t>
            </w:r>
          </w:p>
        </w:tc>
      </w:tr>
      <w:tr w:rsidR="00DB2687" w:rsidRPr="00E90551" w:rsidTr="00B215FA">
        <w:trPr>
          <w:gridAfter w:val="3"/>
          <w:wAfter w:w="850" w:type="dxa"/>
          <w:cantSplit/>
          <w:trHeight w:val="537"/>
          <w:tblHeader/>
        </w:trPr>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6235"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Annual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budget</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1 326</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Taxes on employers’ payroll and labour force</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1 357</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5 408</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Taxes on property</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Taxes on immovable property</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12</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Land tax</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45</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1 770</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606</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Fire Services Property Levy</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653</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628</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Congestion levy</w:t>
            </w:r>
          </w:p>
        </w:tc>
        <w:tc>
          <w:tcPr>
            <w:tcW w:w="1134" w:type="dxa"/>
            <w:tcBorders>
              <w:top w:val="nil"/>
              <w:left w:val="nil"/>
              <w:right w:val="nil"/>
            </w:tcBorders>
            <w:shd w:val="clear" w:color="auto" w:fill="FFFFFF"/>
          </w:tcPr>
          <w:p w:rsidR="00E90551" w:rsidRPr="00E90551" w:rsidRDefault="00A70914" w:rsidP="00E9055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120</w:t>
            </w:r>
          </w:p>
        </w:tc>
      </w:tr>
      <w:tr w:rsidR="00E90551" w:rsidRPr="00E90551" w:rsidTr="009A3756">
        <w:trPr>
          <w:gridAfter w:val="3"/>
          <w:wAfter w:w="850" w:type="dxa"/>
          <w:cantSplit/>
        </w:trPr>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110</w:t>
            </w:r>
          </w:p>
        </w:tc>
        <w:tc>
          <w:tcPr>
            <w:tcW w:w="6235"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Metropolitan improvement levy</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110</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151</w:t>
            </w:r>
          </w:p>
        </w:tc>
      </w:tr>
      <w:tr w:rsidR="00E90551" w:rsidRPr="00E90551" w:rsidTr="009A3756">
        <w:trPr>
          <w:gridAfter w:val="3"/>
          <w:wAfter w:w="850" w:type="dxa"/>
          <w:cantSplit/>
        </w:trPr>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732</w:t>
            </w:r>
          </w:p>
        </w:tc>
        <w:tc>
          <w:tcPr>
            <w:tcW w:w="6235"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taxes on immovable property</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803</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2 669</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Financial and capital transactions</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1 192</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Land transfer duty</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1 450</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5 028</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Other property duties</w:t>
            </w:r>
          </w:p>
        </w:tc>
        <w:tc>
          <w:tcPr>
            <w:tcW w:w="1134" w:type="dxa"/>
            <w:tcBorders>
              <w:top w:val="nil"/>
              <w:left w:val="nil"/>
              <w:right w:val="nil"/>
            </w:tcBorders>
            <w:shd w:val="clear" w:color="auto" w:fill="FFFFFF"/>
          </w:tcPr>
          <w:p w:rsidR="00E90551" w:rsidRPr="00E90551" w:rsidRDefault="00A70914" w:rsidP="00E9055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Metropolitan Planning levy</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17</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33</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Financial accommodation levy</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29</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151</w:t>
            </w:r>
          </w:p>
        </w:tc>
      </w:tr>
      <w:tr w:rsidR="00E90551" w:rsidRPr="00E90551" w:rsidTr="009A3756">
        <w:trPr>
          <w:gridAfter w:val="3"/>
          <w:wAfter w:w="850" w:type="dxa"/>
          <w:cantSplit/>
        </w:trPr>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22</w:t>
            </w:r>
          </w:p>
        </w:tc>
        <w:tc>
          <w:tcPr>
            <w:tcW w:w="6235"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Growth Areas Infrastructure Contribution</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34</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108</w:t>
            </w:r>
          </w:p>
        </w:tc>
      </w:tr>
      <w:tr w:rsidR="00E90551" w:rsidRPr="00E90551" w:rsidTr="009A3756">
        <w:trPr>
          <w:gridAfter w:val="3"/>
          <w:wAfter w:w="850" w:type="dxa"/>
          <w:cantSplit/>
        </w:trPr>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1 252</w:t>
            </w:r>
          </w:p>
        </w:tc>
        <w:tc>
          <w:tcPr>
            <w:tcW w:w="6235"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financial and capital transactions</w:t>
            </w:r>
          </w:p>
        </w:tc>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1 516</w:t>
            </w:r>
          </w:p>
        </w:tc>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5 307</w:t>
            </w:r>
          </w:p>
        </w:tc>
      </w:tr>
      <w:tr w:rsidR="00E90551" w:rsidRPr="00E90551" w:rsidTr="009A3756">
        <w:trPr>
          <w:gridAfter w:val="3"/>
          <w:wAfter w:w="850" w:type="dxa"/>
          <w:cantSplit/>
        </w:trPr>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1 985</w:t>
            </w:r>
          </w:p>
        </w:tc>
        <w:tc>
          <w:tcPr>
            <w:tcW w:w="6235"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taxes on property</w:t>
            </w:r>
          </w:p>
        </w:tc>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2 319</w:t>
            </w:r>
          </w:p>
        </w:tc>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7 975</w:t>
            </w:r>
          </w:p>
        </w:tc>
      </w:tr>
      <w:tr w:rsidR="00E90551" w:rsidRPr="00E90551" w:rsidTr="009A3756">
        <w:trPr>
          <w:gridAfter w:val="3"/>
          <w:wAfter w:w="850" w:type="dxa"/>
          <w:cantSplit/>
        </w:trPr>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6235"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Taxes on provision of goods and services</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Gambling taxes</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108</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Public lotteries</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108</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421</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275</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Electronic gaming machines</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278</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1 088</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49</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Casino</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51</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240</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20</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Racing</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19</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83</w:t>
            </w:r>
          </w:p>
        </w:tc>
      </w:tr>
      <w:tr w:rsidR="00E90551" w:rsidRPr="00E90551" w:rsidTr="009A3756">
        <w:trPr>
          <w:gridAfter w:val="3"/>
          <w:wAfter w:w="850" w:type="dxa"/>
          <w:cantSplit/>
        </w:trPr>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w:t>
            </w:r>
          </w:p>
        </w:tc>
        <w:tc>
          <w:tcPr>
            <w:tcW w:w="6235"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Other</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30</w:t>
            </w:r>
          </w:p>
        </w:tc>
      </w:tr>
      <w:tr w:rsidR="00E90551" w:rsidRPr="00E90551" w:rsidTr="009A3756">
        <w:trPr>
          <w:gridAfter w:val="3"/>
          <w:wAfter w:w="850" w:type="dxa"/>
          <w:cantSplit/>
        </w:trPr>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458</w:t>
            </w:r>
          </w:p>
        </w:tc>
        <w:tc>
          <w:tcPr>
            <w:tcW w:w="6235"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gambling taxes</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462</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1 861</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23</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Levies on statutory corporations</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23</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112</w:t>
            </w:r>
          </w:p>
        </w:tc>
      </w:tr>
      <w:tr w:rsidR="00E90551" w:rsidRPr="00E90551" w:rsidTr="009A3756">
        <w:trPr>
          <w:gridAfter w:val="3"/>
          <w:wAfter w:w="850" w:type="dxa"/>
          <w:cantSplit/>
        </w:trPr>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318</w:t>
            </w:r>
          </w:p>
        </w:tc>
        <w:tc>
          <w:tcPr>
            <w:tcW w:w="6235"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Taxes on insurance</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319</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1 156</w:t>
            </w:r>
          </w:p>
        </w:tc>
      </w:tr>
      <w:tr w:rsidR="00E90551" w:rsidRPr="00E90551" w:rsidTr="009A3756">
        <w:trPr>
          <w:gridAfter w:val="3"/>
          <w:wAfter w:w="850" w:type="dxa"/>
          <w:cantSplit/>
        </w:trPr>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799</w:t>
            </w:r>
          </w:p>
        </w:tc>
        <w:tc>
          <w:tcPr>
            <w:tcW w:w="6235"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taxes on the provision of goods and services</w:t>
            </w:r>
          </w:p>
        </w:tc>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804</w:t>
            </w:r>
          </w:p>
        </w:tc>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3 130</w:t>
            </w:r>
          </w:p>
        </w:tc>
      </w:tr>
      <w:tr w:rsidR="00E90551" w:rsidRPr="00E90551" w:rsidTr="009A3756">
        <w:trPr>
          <w:gridAfter w:val="3"/>
          <w:wAfter w:w="850" w:type="dxa"/>
          <w:cantSplit/>
        </w:trPr>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6235"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Taxes on the use of goods and performance of activities</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Motor vehicle taxes</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351</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Vehicle registration fees</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367</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1 459</w:t>
            </w:r>
          </w:p>
        </w:tc>
      </w:tr>
      <w:tr w:rsidR="00E90551" w:rsidRPr="00E90551" w:rsidTr="009A3756">
        <w:trPr>
          <w:gridAfter w:val="3"/>
          <w:wAfter w:w="850" w:type="dxa"/>
          <w:cantSplit/>
        </w:trPr>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181</w:t>
            </w:r>
          </w:p>
        </w:tc>
        <w:tc>
          <w:tcPr>
            <w:tcW w:w="6235"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Duty on vehicle registrations and transfers</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194</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743</w:t>
            </w:r>
          </w:p>
        </w:tc>
      </w:tr>
      <w:tr w:rsidR="00E90551" w:rsidRPr="00E90551" w:rsidTr="009A3756">
        <w:trPr>
          <w:gridAfter w:val="3"/>
          <w:wAfter w:w="850" w:type="dxa"/>
          <w:cantSplit/>
        </w:trPr>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532</w:t>
            </w:r>
          </w:p>
        </w:tc>
        <w:tc>
          <w:tcPr>
            <w:tcW w:w="6235"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motor vehicle taxes</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561</w:t>
            </w:r>
          </w:p>
        </w:tc>
        <w:tc>
          <w:tcPr>
            <w:tcW w:w="1134" w:type="dxa"/>
            <w:tcBorders>
              <w:top w:val="single" w:sz="6" w:space="0" w:color="000000"/>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2 202</w:t>
            </w:r>
          </w:p>
        </w:tc>
      </w:tr>
      <w:tr w:rsidR="00E90551" w:rsidRPr="00E90551" w:rsidTr="009A3756">
        <w:trPr>
          <w:gridAfter w:val="3"/>
          <w:wAfter w:w="850" w:type="dxa"/>
          <w:cantSplit/>
        </w:trPr>
        <w:tc>
          <w:tcPr>
            <w:tcW w:w="1134" w:type="dxa"/>
            <w:tcBorders>
              <w:top w:val="nil"/>
              <w:left w:val="nil"/>
              <w:right w:val="nil"/>
            </w:tcBorders>
            <w:shd w:val="clear" w:color="auto" w:fill="FFFFFF"/>
          </w:tcPr>
          <w:p w:rsidR="00E90551" w:rsidRPr="00E90551" w:rsidRDefault="00A70914" w:rsidP="00E90551">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w:t>
            </w:r>
          </w:p>
        </w:tc>
        <w:tc>
          <w:tcPr>
            <w:tcW w:w="6235" w:type="dxa"/>
            <w:tcBorders>
              <w:top w:val="nil"/>
              <w:left w:val="nil"/>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Liquor licence fees</w:t>
            </w:r>
          </w:p>
        </w:tc>
        <w:tc>
          <w:tcPr>
            <w:tcW w:w="1134" w:type="dxa"/>
            <w:tcBorders>
              <w:top w:val="nil"/>
              <w:left w:val="nil"/>
              <w:right w:val="nil"/>
            </w:tcBorders>
            <w:shd w:val="clear" w:color="auto" w:fill="FFFFFF"/>
          </w:tcPr>
          <w:p w:rsidR="00E90551" w:rsidRPr="00E90551" w:rsidRDefault="00A70914" w:rsidP="00E90551">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w:t>
            </w:r>
          </w:p>
        </w:tc>
        <w:tc>
          <w:tcPr>
            <w:tcW w:w="1134" w:type="dxa"/>
            <w:tcBorders>
              <w:top w:val="nil"/>
              <w:left w:val="nil"/>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22</w:t>
            </w:r>
          </w:p>
        </w:tc>
      </w:tr>
      <w:tr w:rsidR="00E90551" w:rsidRPr="00E90551" w:rsidTr="009A3756">
        <w:trPr>
          <w:gridAfter w:val="3"/>
          <w:wAfter w:w="850" w:type="dxa"/>
          <w:cantSplit/>
        </w:trPr>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69</w:t>
            </w:r>
          </w:p>
        </w:tc>
        <w:tc>
          <w:tcPr>
            <w:tcW w:w="6235"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Other</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20</w:t>
            </w:r>
          </w:p>
        </w:tc>
        <w:tc>
          <w:tcPr>
            <w:tcW w:w="1134" w:type="dxa"/>
            <w:tcBorders>
              <w:top w:val="nil"/>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288</w:t>
            </w:r>
          </w:p>
        </w:tc>
      </w:tr>
      <w:tr w:rsidR="00E90551" w:rsidRPr="00E90551" w:rsidTr="009A3756">
        <w:trPr>
          <w:gridAfter w:val="3"/>
          <w:wAfter w:w="850" w:type="dxa"/>
          <w:cantSplit/>
        </w:trPr>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601</w:t>
            </w:r>
          </w:p>
        </w:tc>
        <w:tc>
          <w:tcPr>
            <w:tcW w:w="6235"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taxes on the use of goods and performance of activities</w:t>
            </w:r>
          </w:p>
        </w:tc>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581</w:t>
            </w:r>
          </w:p>
        </w:tc>
        <w:tc>
          <w:tcPr>
            <w:tcW w:w="1134" w:type="dxa"/>
            <w:tcBorders>
              <w:top w:val="single" w:sz="6" w:space="0" w:color="000000"/>
              <w:left w:val="nil"/>
              <w:bottom w:val="single" w:sz="6"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2 512</w:t>
            </w:r>
          </w:p>
        </w:tc>
      </w:tr>
      <w:tr w:rsidR="00E90551" w:rsidRPr="00E90551" w:rsidTr="009A3756">
        <w:trPr>
          <w:gridAfter w:val="3"/>
          <w:wAfter w:w="850" w:type="dxa"/>
          <w:cantSplit/>
        </w:trPr>
        <w:tc>
          <w:tcPr>
            <w:tcW w:w="1134" w:type="dxa"/>
            <w:tcBorders>
              <w:top w:val="single" w:sz="6" w:space="0" w:color="000000"/>
              <w:left w:val="nil"/>
              <w:bottom w:val="single" w:sz="12"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4 711</w:t>
            </w:r>
          </w:p>
        </w:tc>
        <w:tc>
          <w:tcPr>
            <w:tcW w:w="6235" w:type="dxa"/>
            <w:tcBorders>
              <w:top w:val="single" w:sz="6" w:space="0" w:color="000000"/>
              <w:left w:val="nil"/>
              <w:bottom w:val="single" w:sz="12" w:space="0" w:color="000000"/>
              <w:right w:val="nil"/>
            </w:tcBorders>
            <w:shd w:val="clear" w:color="auto" w:fill="FFFFFF"/>
          </w:tcPr>
          <w:p w:rsidR="00E90551" w:rsidRPr="00E90551" w:rsidRDefault="00E90551"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taxation revenue</w:t>
            </w:r>
          </w:p>
        </w:tc>
        <w:tc>
          <w:tcPr>
            <w:tcW w:w="1134" w:type="dxa"/>
            <w:tcBorders>
              <w:top w:val="single" w:sz="6" w:space="0" w:color="000000"/>
              <w:left w:val="nil"/>
              <w:bottom w:val="single" w:sz="12"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5 061</w:t>
            </w:r>
          </w:p>
        </w:tc>
        <w:tc>
          <w:tcPr>
            <w:tcW w:w="1134" w:type="dxa"/>
            <w:tcBorders>
              <w:top w:val="single" w:sz="6" w:space="0" w:color="000000"/>
              <w:left w:val="nil"/>
              <w:bottom w:val="single" w:sz="12" w:space="0" w:color="000000"/>
              <w:right w:val="nil"/>
            </w:tcBorders>
            <w:shd w:val="clear" w:color="auto" w:fill="FFFFFF"/>
          </w:tcPr>
          <w:p w:rsidR="00E90551" w:rsidRPr="00E90551" w:rsidRDefault="00E90551"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19 024</w:t>
            </w:r>
          </w:p>
        </w:tc>
      </w:tr>
    </w:tbl>
    <w:p w:rsidR="00A545EC" w:rsidRDefault="00A545EC" w:rsidP="00A545EC">
      <w:pPr>
        <w:spacing w:after="0"/>
      </w:pPr>
    </w:p>
    <w:p w:rsidR="00975E94" w:rsidRDefault="00975E94" w:rsidP="00975E94"/>
    <w:p w:rsidR="00E90551" w:rsidRDefault="00283E0D" w:rsidP="00E90551">
      <w:pPr>
        <w:pStyle w:val="Heading2NotesQtrly"/>
        <w:rPr>
          <w:rFonts w:ascii="Times New Roman" w:hAnsi="Times New Roman"/>
          <w:b w:val="0"/>
          <w:kern w:val="0"/>
          <w:sz w:val="20"/>
          <w:szCs w:val="20"/>
          <w:lang w:eastAsia="en-AU"/>
        </w:rPr>
      </w:pPr>
      <w:r>
        <w:br w:type="page"/>
      </w:r>
    </w:p>
    <w:p w:rsidR="009A3756" w:rsidRDefault="009A3756" w:rsidP="009A3756">
      <w:pPr>
        <w:pStyle w:val="Heading2NotesQtrly"/>
      </w:pPr>
      <w:bookmarkStart w:id="13" w:name="_Toc435107435"/>
      <w:r w:rsidRPr="009A3756">
        <w:lastRenderedPageBreak/>
        <w:t>Note 3:</w:t>
      </w:r>
      <w:r w:rsidRPr="009A3756">
        <w:tab/>
        <w:t xml:space="preserve">Dividends and income tax equivalent </w:t>
      </w:r>
      <w:r>
        <w:t>and rate equivalent revenue</w:t>
      </w:r>
      <w:bookmarkEnd w:id="13"/>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566"/>
        <w:gridCol w:w="568"/>
        <w:gridCol w:w="1134"/>
      </w:tblGrid>
      <w:tr w:rsidR="00DB2687" w:rsidRPr="00E90551" w:rsidTr="00DB2687">
        <w:trPr>
          <w:cantSplit/>
          <w:tblHeader/>
        </w:trPr>
        <w:tc>
          <w:tcPr>
            <w:tcW w:w="9638" w:type="dxa"/>
            <w:gridSpan w:val="5"/>
            <w:tcBorders>
              <w:top w:val="nil"/>
              <w:left w:val="nil"/>
              <w:bottom w:val="nil"/>
              <w:right w:val="nil"/>
            </w:tcBorders>
          </w:tcPr>
          <w:p w:rsidR="00DB2687" w:rsidRPr="00E90551" w:rsidRDefault="00DB2687" w:rsidP="00E90551">
            <w:pPr>
              <w:pStyle w:val="million"/>
              <w:rPr>
                <w:rFonts w:eastAsiaTheme="minorEastAsia"/>
                <w:lang w:eastAsia="en-AU"/>
              </w:rPr>
            </w:pPr>
            <w:r w:rsidRPr="00E90551">
              <w:rPr>
                <w:rFonts w:eastAsiaTheme="minorEastAsia"/>
                <w:lang w:eastAsia="en-AU"/>
              </w:rPr>
              <w:t>($ million)</w:t>
            </w:r>
          </w:p>
        </w:tc>
      </w:tr>
      <w:tr w:rsidR="00DB2687" w:rsidRPr="00E90551" w:rsidTr="00DB2687">
        <w:trPr>
          <w:cantSplit/>
          <w:tblHeader/>
        </w:trPr>
        <w:tc>
          <w:tcPr>
            <w:tcW w:w="1134"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2014-15 </w:t>
            </w:r>
          </w:p>
        </w:tc>
        <w:tc>
          <w:tcPr>
            <w:tcW w:w="6236"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2268" w:type="dxa"/>
            <w:gridSpan w:val="3"/>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center"/>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2015-16</w:t>
            </w:r>
          </w:p>
        </w:tc>
      </w:tr>
      <w:tr w:rsidR="00DB2687" w:rsidRPr="00E90551" w:rsidTr="00DB2687">
        <w:trPr>
          <w:cantSplit/>
          <w:trHeight w:val="537"/>
          <w:tblHeader/>
        </w:trPr>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1134" w:type="dxa"/>
            <w:gridSpan w:val="2"/>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Annual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budget</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Dividends from PFC sector</w:t>
            </w:r>
          </w:p>
        </w:tc>
        <w:tc>
          <w:tcPr>
            <w:tcW w:w="1134" w:type="dxa"/>
            <w:gridSpan w:val="2"/>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620</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Dividends from PNFC sector</w:t>
            </w:r>
          </w:p>
        </w:tc>
        <w:tc>
          <w:tcPr>
            <w:tcW w:w="1134" w:type="dxa"/>
            <w:gridSpan w:val="2"/>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216</w:t>
            </w:r>
          </w:p>
        </w:tc>
      </w:tr>
      <w:tr w:rsidR="00DB2687" w:rsidRPr="00E90551" w:rsidTr="00DB2687">
        <w:trPr>
          <w:cantSplit/>
        </w:trPr>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7</w:t>
            </w:r>
          </w:p>
        </w:tc>
        <w:tc>
          <w:tcPr>
            <w:tcW w:w="6236"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Dividends from non-public sector</w:t>
            </w:r>
          </w:p>
        </w:tc>
        <w:tc>
          <w:tcPr>
            <w:tcW w:w="1134" w:type="dxa"/>
            <w:gridSpan w:val="2"/>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11</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14</w:t>
            </w:r>
          </w:p>
        </w:tc>
      </w:tr>
      <w:tr w:rsidR="00DB2687" w:rsidRPr="00E90551" w:rsidTr="00DB2687">
        <w:trPr>
          <w:cantSplit/>
        </w:trPr>
        <w:tc>
          <w:tcPr>
            <w:tcW w:w="1134"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8</w:t>
            </w:r>
          </w:p>
        </w:tc>
        <w:tc>
          <w:tcPr>
            <w:tcW w:w="6236"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Dividends</w:t>
            </w:r>
          </w:p>
        </w:tc>
        <w:tc>
          <w:tcPr>
            <w:tcW w:w="1134" w:type="dxa"/>
            <w:gridSpan w:val="2"/>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17</w:t>
            </w:r>
          </w:p>
        </w:tc>
        <w:tc>
          <w:tcPr>
            <w:tcW w:w="1134"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850</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29</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Income tax equivalent revenue from PFC sector</w:t>
            </w:r>
          </w:p>
        </w:tc>
        <w:tc>
          <w:tcPr>
            <w:tcW w:w="1134" w:type="dxa"/>
            <w:gridSpan w:val="2"/>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124</w:t>
            </w:r>
          </w:p>
        </w:tc>
      </w:tr>
      <w:tr w:rsidR="00DB2687" w:rsidRPr="00E90551" w:rsidTr="00DB2687">
        <w:trPr>
          <w:cantSplit/>
        </w:trPr>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15</w:t>
            </w:r>
          </w:p>
        </w:tc>
        <w:tc>
          <w:tcPr>
            <w:tcW w:w="6236"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Income tax equivalent revenue from PNFC sector</w:t>
            </w:r>
          </w:p>
        </w:tc>
        <w:tc>
          <w:tcPr>
            <w:tcW w:w="1134" w:type="dxa"/>
            <w:gridSpan w:val="2"/>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40</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163</w:t>
            </w:r>
          </w:p>
        </w:tc>
      </w:tr>
      <w:tr w:rsidR="00DB2687" w:rsidRPr="00E90551" w:rsidTr="00DB2687">
        <w:trPr>
          <w:cantSplit/>
        </w:trPr>
        <w:tc>
          <w:tcPr>
            <w:tcW w:w="1134"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43</w:t>
            </w:r>
          </w:p>
        </w:tc>
        <w:tc>
          <w:tcPr>
            <w:tcW w:w="6236"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Income tax equivalent revenue</w:t>
            </w:r>
          </w:p>
        </w:tc>
        <w:tc>
          <w:tcPr>
            <w:tcW w:w="1134" w:type="dxa"/>
            <w:gridSpan w:val="2"/>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42</w:t>
            </w:r>
          </w:p>
        </w:tc>
        <w:tc>
          <w:tcPr>
            <w:tcW w:w="1134"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287</w:t>
            </w:r>
          </w:p>
        </w:tc>
      </w:tr>
      <w:tr w:rsidR="00DB2687" w:rsidRPr="00E90551" w:rsidTr="00DB2687">
        <w:trPr>
          <w:cantSplit/>
        </w:trPr>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w:t>
            </w:r>
          </w:p>
        </w:tc>
        <w:tc>
          <w:tcPr>
            <w:tcW w:w="6236"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Local government rate equivalent revenue</w:t>
            </w:r>
          </w:p>
        </w:tc>
        <w:tc>
          <w:tcPr>
            <w:tcW w:w="1134" w:type="dxa"/>
            <w:gridSpan w:val="2"/>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8</w:t>
            </w:r>
          </w:p>
        </w:tc>
      </w:tr>
      <w:tr w:rsidR="00DB2687" w:rsidRPr="00E90551" w:rsidTr="00DB2687">
        <w:trPr>
          <w:cantSplit/>
        </w:trPr>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51</w:t>
            </w:r>
          </w:p>
        </w:tc>
        <w:tc>
          <w:tcPr>
            <w:tcW w:w="6802" w:type="dxa"/>
            <w:gridSpan w:val="2"/>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dividends and income tax equivalent and rate equivalent revenue</w:t>
            </w:r>
          </w:p>
        </w:tc>
        <w:tc>
          <w:tcPr>
            <w:tcW w:w="568"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59</w:t>
            </w:r>
          </w:p>
        </w:tc>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1 144</w:t>
            </w:r>
          </w:p>
        </w:tc>
      </w:tr>
    </w:tbl>
    <w:p w:rsidR="00E90551" w:rsidRDefault="00E90551" w:rsidP="00442C86"/>
    <w:p w:rsidR="00E90551" w:rsidRDefault="00E90551" w:rsidP="00442C86">
      <w:pPr>
        <w:rPr>
          <w:rFonts w:ascii="Times New Roman" w:hAnsi="Times New Roman"/>
          <w:sz w:val="20"/>
          <w:lang w:eastAsia="en-AU"/>
        </w:rPr>
      </w:pPr>
    </w:p>
    <w:p w:rsidR="009A3756" w:rsidRDefault="009A3756" w:rsidP="009A3756">
      <w:pPr>
        <w:pStyle w:val="Heading2NotesQtrly"/>
      </w:pPr>
      <w:bookmarkStart w:id="14" w:name="_Toc435107436"/>
      <w:r w:rsidRPr="009A3756">
        <w:t>Note 4:</w:t>
      </w:r>
      <w:r w:rsidRPr="009A3756">
        <w:tab/>
      </w:r>
      <w:r>
        <w:t>Sales of goods and services</w:t>
      </w:r>
      <w:bookmarkEnd w:id="14"/>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DB2687" w:rsidRPr="00E90551" w:rsidTr="00DB2687">
        <w:trPr>
          <w:cantSplit/>
          <w:tblHeader/>
        </w:trPr>
        <w:tc>
          <w:tcPr>
            <w:tcW w:w="9638" w:type="dxa"/>
            <w:gridSpan w:val="4"/>
            <w:tcBorders>
              <w:top w:val="nil"/>
              <w:left w:val="nil"/>
              <w:bottom w:val="nil"/>
              <w:right w:val="nil"/>
            </w:tcBorders>
          </w:tcPr>
          <w:p w:rsidR="00DB2687" w:rsidRPr="00E90551" w:rsidRDefault="00DB2687" w:rsidP="00E90551">
            <w:pPr>
              <w:pStyle w:val="million"/>
              <w:rPr>
                <w:rFonts w:eastAsiaTheme="minorEastAsia"/>
                <w:lang w:eastAsia="en-AU"/>
              </w:rPr>
            </w:pPr>
            <w:r w:rsidRPr="00E90551">
              <w:rPr>
                <w:rFonts w:eastAsiaTheme="minorEastAsia"/>
                <w:lang w:eastAsia="en-AU"/>
              </w:rPr>
              <w:t>($ million)</w:t>
            </w:r>
          </w:p>
        </w:tc>
      </w:tr>
      <w:tr w:rsidR="00DB2687" w:rsidRPr="00E90551" w:rsidTr="0053540F">
        <w:trPr>
          <w:cantSplit/>
          <w:tblHeader/>
        </w:trPr>
        <w:tc>
          <w:tcPr>
            <w:tcW w:w="1134"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2014-15 </w:t>
            </w:r>
          </w:p>
        </w:tc>
        <w:tc>
          <w:tcPr>
            <w:tcW w:w="6236"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2268" w:type="dxa"/>
            <w:gridSpan w:val="2"/>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center"/>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2015-16</w:t>
            </w:r>
          </w:p>
        </w:tc>
      </w:tr>
      <w:tr w:rsidR="00DB2687" w:rsidRPr="00E90551" w:rsidTr="00F23A84">
        <w:trPr>
          <w:cantSplit/>
          <w:trHeight w:val="537"/>
          <w:tblHeader/>
        </w:trPr>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Annual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budget</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62</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Motor vehicle regulatory fees</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63</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229</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116</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Other regulatory fees</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111</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501</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20</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Sale of goods</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20</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69</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1 025</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Provision of services</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1 015</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4 114</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15</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Rental</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17</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59</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9</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Refunds and reimbursements</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56</w:t>
            </w:r>
          </w:p>
        </w:tc>
      </w:tr>
      <w:tr w:rsidR="00DB2687" w:rsidRPr="00E90551" w:rsidTr="00DB2687">
        <w:trPr>
          <w:cantSplit/>
        </w:trPr>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408</w:t>
            </w:r>
          </w:p>
        </w:tc>
        <w:tc>
          <w:tcPr>
            <w:tcW w:w="6236"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Inter-sector capital asset charge</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435</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1 752</w:t>
            </w:r>
          </w:p>
        </w:tc>
      </w:tr>
      <w:tr w:rsidR="00DB2687" w:rsidRPr="00E90551" w:rsidTr="00DB2687">
        <w:trPr>
          <w:cantSplit/>
        </w:trPr>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1 657</w:t>
            </w:r>
          </w:p>
        </w:tc>
        <w:tc>
          <w:tcPr>
            <w:tcW w:w="6236"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sales of goods and services</w:t>
            </w:r>
          </w:p>
        </w:tc>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1 661</w:t>
            </w:r>
          </w:p>
        </w:tc>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6 779</w:t>
            </w:r>
          </w:p>
        </w:tc>
      </w:tr>
    </w:tbl>
    <w:p w:rsidR="00E90551" w:rsidRDefault="00E90551" w:rsidP="007444E7">
      <w:pPr>
        <w:rPr>
          <w:rFonts w:ascii="Times New Roman" w:hAnsi="Times New Roman"/>
          <w:sz w:val="20"/>
          <w:lang w:eastAsia="en-AU"/>
        </w:rPr>
      </w:pPr>
    </w:p>
    <w:p w:rsidR="007444E7" w:rsidRDefault="007444E7"/>
    <w:p w:rsidR="009A3756" w:rsidRDefault="009A3756" w:rsidP="006644EB">
      <w:pPr>
        <w:pStyle w:val="Heading2NotesQtrly"/>
      </w:pPr>
      <w:bookmarkStart w:id="15" w:name="_Toc435107437"/>
      <w:r>
        <w:t>Note 5:</w:t>
      </w:r>
      <w:r>
        <w:tab/>
        <w:t>Grant revenue</w:t>
      </w:r>
      <w:bookmarkEnd w:id="15"/>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DB2687" w:rsidRPr="00E90551" w:rsidTr="00DB2687">
        <w:trPr>
          <w:cantSplit/>
          <w:tblHeader/>
        </w:trPr>
        <w:tc>
          <w:tcPr>
            <w:tcW w:w="9638" w:type="dxa"/>
            <w:gridSpan w:val="4"/>
            <w:tcBorders>
              <w:top w:val="nil"/>
              <w:left w:val="nil"/>
              <w:bottom w:val="nil"/>
              <w:right w:val="nil"/>
            </w:tcBorders>
          </w:tcPr>
          <w:p w:rsidR="00DB2687" w:rsidRPr="00E90551" w:rsidRDefault="00DB2687" w:rsidP="00E90551">
            <w:pPr>
              <w:pStyle w:val="million"/>
              <w:rPr>
                <w:rFonts w:eastAsiaTheme="minorEastAsia"/>
                <w:lang w:eastAsia="en-AU"/>
              </w:rPr>
            </w:pPr>
            <w:r w:rsidRPr="00E90551">
              <w:rPr>
                <w:rFonts w:eastAsiaTheme="minorEastAsia"/>
                <w:lang w:eastAsia="en-AU"/>
              </w:rPr>
              <w:t>($ million)</w:t>
            </w:r>
          </w:p>
        </w:tc>
      </w:tr>
      <w:tr w:rsidR="00DB2687" w:rsidRPr="00E90551" w:rsidTr="00DB2687">
        <w:trPr>
          <w:cantSplit/>
          <w:tblHeader/>
        </w:trPr>
        <w:tc>
          <w:tcPr>
            <w:tcW w:w="1134"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2014-15 </w:t>
            </w:r>
          </w:p>
        </w:tc>
        <w:tc>
          <w:tcPr>
            <w:tcW w:w="6236"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2268" w:type="dxa"/>
            <w:gridSpan w:val="2"/>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center"/>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2015-16</w:t>
            </w:r>
          </w:p>
        </w:tc>
      </w:tr>
      <w:tr w:rsidR="00DB2687" w:rsidRPr="00E90551" w:rsidTr="00DB2687">
        <w:trPr>
          <w:cantSplit/>
          <w:trHeight w:val="537"/>
          <w:tblHeader/>
        </w:trPr>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Annual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budget</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2 957</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General purpose grants</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3 183</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12 770</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751</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Specific purpose grants for on-passing</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745</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3 389</w:t>
            </w:r>
          </w:p>
        </w:tc>
      </w:tr>
      <w:tr w:rsidR="00DB2687" w:rsidRPr="00E90551" w:rsidTr="00DB2687">
        <w:trPr>
          <w:cantSplit/>
        </w:trPr>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1 924</w:t>
            </w:r>
          </w:p>
        </w:tc>
        <w:tc>
          <w:tcPr>
            <w:tcW w:w="6236"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Other specific purpose grants</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2 058</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9 270</w:t>
            </w:r>
          </w:p>
        </w:tc>
      </w:tr>
      <w:tr w:rsidR="00DB2687" w:rsidRPr="00E90551" w:rsidTr="00DB2687">
        <w:trPr>
          <w:cantSplit/>
        </w:trPr>
        <w:tc>
          <w:tcPr>
            <w:tcW w:w="1134"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5 632</w:t>
            </w:r>
          </w:p>
        </w:tc>
        <w:tc>
          <w:tcPr>
            <w:tcW w:w="6236"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w:t>
            </w:r>
          </w:p>
        </w:tc>
        <w:tc>
          <w:tcPr>
            <w:tcW w:w="1134"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5 987</w:t>
            </w:r>
          </w:p>
        </w:tc>
        <w:tc>
          <w:tcPr>
            <w:tcW w:w="1134" w:type="dxa"/>
            <w:tcBorders>
              <w:top w:val="single" w:sz="6" w:space="0" w:color="000000"/>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25 428</w:t>
            </w:r>
          </w:p>
        </w:tc>
      </w:tr>
      <w:tr w:rsidR="00DB2687" w:rsidRPr="00E90551" w:rsidTr="00DB2687">
        <w:trPr>
          <w:cantSplit/>
        </w:trPr>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33</w:t>
            </w:r>
          </w:p>
        </w:tc>
        <w:tc>
          <w:tcPr>
            <w:tcW w:w="6236"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Other contributions and grants</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24</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151</w:t>
            </w:r>
          </w:p>
        </w:tc>
      </w:tr>
      <w:tr w:rsidR="00DB2687" w:rsidRPr="00E90551" w:rsidTr="00DB2687">
        <w:trPr>
          <w:cantSplit/>
        </w:trPr>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5 665</w:t>
            </w:r>
          </w:p>
        </w:tc>
        <w:tc>
          <w:tcPr>
            <w:tcW w:w="6236"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grant revenue</w:t>
            </w:r>
          </w:p>
        </w:tc>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6 010</w:t>
            </w:r>
          </w:p>
        </w:tc>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25 579</w:t>
            </w:r>
          </w:p>
        </w:tc>
      </w:tr>
    </w:tbl>
    <w:p w:rsidR="00E90551" w:rsidRDefault="00E90551" w:rsidP="00442C86"/>
    <w:p w:rsidR="00E90551" w:rsidRDefault="00E90551" w:rsidP="00442C86">
      <w:pPr>
        <w:rPr>
          <w:rFonts w:ascii="Times New Roman" w:hAnsi="Times New Roman"/>
          <w:sz w:val="20"/>
          <w:lang w:eastAsia="en-AU"/>
        </w:rPr>
      </w:pPr>
    </w:p>
    <w:p w:rsidR="009C6523" w:rsidRDefault="009C6523">
      <w:r>
        <w:rPr>
          <w:b/>
        </w:rPr>
        <w:br w:type="page"/>
      </w:r>
    </w:p>
    <w:p w:rsidR="009A3756" w:rsidRDefault="009A3756" w:rsidP="006644EB">
      <w:pPr>
        <w:pStyle w:val="Heading2NotesQtrly"/>
      </w:pPr>
      <w:bookmarkStart w:id="16" w:name="_Toc435107438"/>
      <w:r>
        <w:lastRenderedPageBreak/>
        <w:t>Note 6:</w:t>
      </w:r>
      <w:r>
        <w:tab/>
        <w:t>Other revenue</w:t>
      </w:r>
      <w:bookmarkEnd w:id="16"/>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427"/>
        <w:gridCol w:w="707"/>
        <w:gridCol w:w="1134"/>
      </w:tblGrid>
      <w:tr w:rsidR="00DB2687" w:rsidRPr="00E90551" w:rsidTr="00DB2687">
        <w:trPr>
          <w:cantSplit/>
          <w:tblHeader/>
        </w:trPr>
        <w:tc>
          <w:tcPr>
            <w:tcW w:w="9638" w:type="dxa"/>
            <w:gridSpan w:val="5"/>
            <w:tcBorders>
              <w:top w:val="nil"/>
              <w:left w:val="nil"/>
              <w:bottom w:val="nil"/>
              <w:right w:val="nil"/>
            </w:tcBorders>
          </w:tcPr>
          <w:p w:rsidR="00DB2687" w:rsidRPr="00E90551" w:rsidRDefault="00DB2687" w:rsidP="00E90551">
            <w:pPr>
              <w:pStyle w:val="million"/>
              <w:rPr>
                <w:rFonts w:eastAsiaTheme="minorEastAsia"/>
                <w:lang w:eastAsia="en-AU"/>
              </w:rPr>
            </w:pPr>
            <w:r w:rsidRPr="00E90551">
              <w:rPr>
                <w:rFonts w:eastAsiaTheme="minorEastAsia"/>
                <w:lang w:eastAsia="en-AU"/>
              </w:rPr>
              <w:t>($ million)</w:t>
            </w:r>
          </w:p>
        </w:tc>
      </w:tr>
      <w:tr w:rsidR="00DB2687" w:rsidRPr="00E90551" w:rsidTr="00DB2687">
        <w:trPr>
          <w:cantSplit/>
          <w:tblHeader/>
        </w:trPr>
        <w:tc>
          <w:tcPr>
            <w:tcW w:w="1134"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2014-15 </w:t>
            </w:r>
          </w:p>
        </w:tc>
        <w:tc>
          <w:tcPr>
            <w:tcW w:w="6236" w:type="dxa"/>
            <w:tcBorders>
              <w:top w:val="nil"/>
              <w:left w:val="nil"/>
              <w:bottom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2268" w:type="dxa"/>
            <w:gridSpan w:val="3"/>
            <w:tcBorders>
              <w:top w:val="nil"/>
              <w:left w:val="nil"/>
              <w:bottom w:val="nil"/>
              <w:right w:val="nil"/>
            </w:tcBorders>
            <w:shd w:val="solid" w:color="000000" w:fill="auto"/>
          </w:tcPr>
          <w:p w:rsidR="00DB2687" w:rsidRPr="00E90551" w:rsidRDefault="00DB2687" w:rsidP="00170A6D">
            <w:pPr>
              <w:autoSpaceDE w:val="0"/>
              <w:autoSpaceDN w:val="0"/>
              <w:adjustRightInd w:val="0"/>
              <w:spacing w:after="0"/>
              <w:jc w:val="center"/>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2015-16</w:t>
            </w:r>
          </w:p>
        </w:tc>
      </w:tr>
      <w:tr w:rsidR="00DB2687" w:rsidRPr="00E90551" w:rsidTr="00DB2687">
        <w:trPr>
          <w:cantSplit/>
          <w:trHeight w:val="537"/>
          <w:tblHeader/>
        </w:trPr>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w:t>
            </w:r>
          </w:p>
        </w:tc>
        <w:tc>
          <w:tcPr>
            <w:tcW w:w="1134" w:type="dxa"/>
            <w:gridSpan w:val="2"/>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Actual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 xml:space="preserve">Annual </w:t>
            </w:r>
          </w:p>
          <w:p w:rsidR="00DB2687" w:rsidRPr="00E90551" w:rsidRDefault="00DB2687" w:rsidP="00E90551">
            <w:pPr>
              <w:autoSpaceDE w:val="0"/>
              <w:autoSpaceDN w:val="0"/>
              <w:adjustRightInd w:val="0"/>
              <w:spacing w:after="0"/>
              <w:jc w:val="right"/>
              <w:rPr>
                <w:rFonts w:ascii="Calibri" w:eastAsiaTheme="minorEastAsia" w:hAnsi="Calibri" w:cs="Calibri"/>
                <w:i/>
                <w:iCs/>
                <w:color w:val="FFFFFF"/>
                <w:sz w:val="22"/>
                <w:szCs w:val="22"/>
                <w:lang w:eastAsia="en-AU"/>
              </w:rPr>
            </w:pPr>
            <w:r w:rsidRPr="00E90551">
              <w:rPr>
                <w:rFonts w:ascii="Calibri" w:eastAsiaTheme="minorEastAsia" w:hAnsi="Calibri" w:cs="Calibri"/>
                <w:i/>
                <w:iCs/>
                <w:color w:val="FFFFFF"/>
                <w:sz w:val="22"/>
                <w:szCs w:val="22"/>
                <w:lang w:eastAsia="en-AU"/>
              </w:rPr>
              <w:t>budget</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w:t>
            </w:r>
          </w:p>
        </w:tc>
        <w:tc>
          <w:tcPr>
            <w:tcW w:w="6663" w:type="dxa"/>
            <w:gridSpan w:val="2"/>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Fair value of assets received free of charge or for nominal consideration</w:t>
            </w:r>
          </w:p>
        </w:tc>
        <w:tc>
          <w:tcPr>
            <w:tcW w:w="707"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4</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62</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188</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Fines</w:t>
            </w:r>
          </w:p>
        </w:tc>
        <w:tc>
          <w:tcPr>
            <w:tcW w:w="1134" w:type="dxa"/>
            <w:gridSpan w:val="2"/>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167</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777</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9</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Royalties</w:t>
            </w:r>
          </w:p>
        </w:tc>
        <w:tc>
          <w:tcPr>
            <w:tcW w:w="1134" w:type="dxa"/>
            <w:gridSpan w:val="2"/>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14</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51</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72</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Donations and gifts</w:t>
            </w:r>
          </w:p>
        </w:tc>
        <w:tc>
          <w:tcPr>
            <w:tcW w:w="1134" w:type="dxa"/>
            <w:gridSpan w:val="2"/>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65</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304</w:t>
            </w:r>
          </w:p>
        </w:tc>
      </w:tr>
      <w:tr w:rsidR="00DB2687" w:rsidRPr="00E90551" w:rsidTr="00DB2687">
        <w:trPr>
          <w:cantSplit/>
        </w:trPr>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7</w:t>
            </w:r>
          </w:p>
        </w:tc>
        <w:tc>
          <w:tcPr>
            <w:tcW w:w="6236" w:type="dxa"/>
            <w:tcBorders>
              <w:top w:val="nil"/>
              <w:left w:val="nil"/>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Other non-property rental</w:t>
            </w:r>
          </w:p>
        </w:tc>
        <w:tc>
          <w:tcPr>
            <w:tcW w:w="1134" w:type="dxa"/>
            <w:gridSpan w:val="2"/>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6</w:t>
            </w:r>
          </w:p>
        </w:tc>
        <w:tc>
          <w:tcPr>
            <w:tcW w:w="1134" w:type="dxa"/>
            <w:tcBorders>
              <w:top w:val="nil"/>
              <w:left w:val="nil"/>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20</w:t>
            </w:r>
          </w:p>
        </w:tc>
      </w:tr>
      <w:tr w:rsidR="00DB2687" w:rsidRPr="00E90551" w:rsidTr="00DB2687">
        <w:trPr>
          <w:cantSplit/>
        </w:trPr>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286</w:t>
            </w:r>
          </w:p>
        </w:tc>
        <w:tc>
          <w:tcPr>
            <w:tcW w:w="6236"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Other miscellaneous revenue</w:t>
            </w:r>
          </w:p>
        </w:tc>
        <w:tc>
          <w:tcPr>
            <w:tcW w:w="1134" w:type="dxa"/>
            <w:gridSpan w:val="2"/>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308</w:t>
            </w:r>
          </w:p>
        </w:tc>
        <w:tc>
          <w:tcPr>
            <w:tcW w:w="1134" w:type="dxa"/>
            <w:tcBorders>
              <w:top w:val="nil"/>
              <w:left w:val="nil"/>
              <w:bottom w:val="single" w:sz="6"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color w:val="000000"/>
                <w:sz w:val="22"/>
                <w:szCs w:val="22"/>
                <w:lang w:eastAsia="en-AU"/>
              </w:rPr>
            </w:pPr>
            <w:r w:rsidRPr="00E90551">
              <w:rPr>
                <w:rFonts w:ascii="Calibri" w:eastAsiaTheme="minorEastAsia" w:hAnsi="Calibri" w:cs="Calibri"/>
                <w:color w:val="000000"/>
                <w:sz w:val="22"/>
                <w:szCs w:val="22"/>
                <w:lang w:eastAsia="en-AU"/>
              </w:rPr>
              <w:t xml:space="preserve"> 956</w:t>
            </w:r>
          </w:p>
        </w:tc>
      </w:tr>
      <w:tr w:rsidR="00DB2687" w:rsidRPr="00E90551" w:rsidTr="00DB2687">
        <w:trPr>
          <w:cantSplit/>
        </w:trPr>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566</w:t>
            </w:r>
          </w:p>
        </w:tc>
        <w:tc>
          <w:tcPr>
            <w:tcW w:w="6236"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Total other revenue</w:t>
            </w:r>
          </w:p>
        </w:tc>
        <w:tc>
          <w:tcPr>
            <w:tcW w:w="1134" w:type="dxa"/>
            <w:gridSpan w:val="2"/>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 xml:space="preserve"> 564</w:t>
            </w:r>
          </w:p>
        </w:tc>
        <w:tc>
          <w:tcPr>
            <w:tcW w:w="1134" w:type="dxa"/>
            <w:tcBorders>
              <w:top w:val="single" w:sz="6" w:space="0" w:color="000000"/>
              <w:left w:val="nil"/>
              <w:bottom w:val="single" w:sz="12" w:space="0" w:color="000000"/>
              <w:right w:val="nil"/>
            </w:tcBorders>
            <w:shd w:val="clear" w:color="auto" w:fill="FFFFFF"/>
          </w:tcPr>
          <w:p w:rsidR="00DB2687" w:rsidRPr="00E90551" w:rsidRDefault="00DB2687" w:rsidP="00E90551">
            <w:pPr>
              <w:autoSpaceDE w:val="0"/>
              <w:autoSpaceDN w:val="0"/>
              <w:adjustRightInd w:val="0"/>
              <w:spacing w:after="0"/>
              <w:jc w:val="right"/>
              <w:rPr>
                <w:rFonts w:ascii="Calibri" w:eastAsiaTheme="minorEastAsia" w:hAnsi="Calibri" w:cs="Calibri"/>
                <w:b/>
                <w:bCs/>
                <w:color w:val="000000"/>
                <w:sz w:val="22"/>
                <w:szCs w:val="22"/>
                <w:lang w:eastAsia="en-AU"/>
              </w:rPr>
            </w:pPr>
            <w:r w:rsidRPr="00E90551">
              <w:rPr>
                <w:rFonts w:ascii="Calibri" w:eastAsiaTheme="minorEastAsia" w:hAnsi="Calibri" w:cs="Calibri"/>
                <w:b/>
                <w:bCs/>
                <w:color w:val="000000"/>
                <w:sz w:val="22"/>
                <w:szCs w:val="22"/>
                <w:lang w:eastAsia="en-AU"/>
              </w:rPr>
              <w:t>2 171</w:t>
            </w:r>
          </w:p>
        </w:tc>
      </w:tr>
    </w:tbl>
    <w:p w:rsidR="00283E0D" w:rsidRDefault="00283E0D" w:rsidP="00283E0D"/>
    <w:p w:rsidR="00FC1B31" w:rsidRDefault="00FC1B31" w:rsidP="00FC1B31">
      <w:pPr>
        <w:spacing w:after="0"/>
        <w:rPr>
          <w:rFonts w:ascii="Times New Roman" w:hAnsi="Times New Roman"/>
          <w:sz w:val="20"/>
          <w:lang w:eastAsia="en-AU"/>
        </w:rPr>
      </w:pPr>
    </w:p>
    <w:p w:rsidR="009A3756" w:rsidRDefault="009A3756" w:rsidP="006644EB">
      <w:pPr>
        <w:pStyle w:val="Heading2NotesQtrly"/>
      </w:pPr>
      <w:bookmarkStart w:id="17" w:name="_Toc435107439"/>
      <w:r>
        <w:t>Note 7:</w:t>
      </w:r>
      <w:r>
        <w:tab/>
        <w:t>Superannuation</w:t>
      </w:r>
      <w:bookmarkEnd w:id="17"/>
    </w:p>
    <w:tbl>
      <w:tblPr>
        <w:tblW w:w="9639" w:type="dxa"/>
        <w:tblInd w:w="28" w:type="dxa"/>
        <w:tblLayout w:type="fixed"/>
        <w:tblCellMar>
          <w:left w:w="28" w:type="dxa"/>
          <w:right w:w="28" w:type="dxa"/>
        </w:tblCellMar>
        <w:tblLook w:val="0000" w:firstRow="0" w:lastRow="0" w:firstColumn="0" w:lastColumn="0" w:noHBand="0" w:noVBand="0"/>
      </w:tblPr>
      <w:tblGrid>
        <w:gridCol w:w="1134"/>
        <w:gridCol w:w="6520"/>
        <w:gridCol w:w="142"/>
        <w:gridCol w:w="707"/>
        <w:gridCol w:w="1136"/>
      </w:tblGrid>
      <w:tr w:rsidR="00DB2687" w:rsidRPr="00FC1B31" w:rsidTr="00DB2687">
        <w:trPr>
          <w:cantSplit/>
          <w:tblHeader/>
        </w:trPr>
        <w:tc>
          <w:tcPr>
            <w:tcW w:w="9639" w:type="dxa"/>
            <w:gridSpan w:val="5"/>
            <w:tcBorders>
              <w:top w:val="nil"/>
              <w:left w:val="nil"/>
              <w:bottom w:val="nil"/>
              <w:right w:val="nil"/>
            </w:tcBorders>
          </w:tcPr>
          <w:p w:rsidR="00DB2687" w:rsidRPr="00FC1B31" w:rsidRDefault="00DB2687" w:rsidP="00FC1B31">
            <w:pPr>
              <w:pStyle w:val="million"/>
              <w:rPr>
                <w:rFonts w:eastAsiaTheme="minorEastAsia"/>
                <w:lang w:eastAsia="en-AU"/>
              </w:rPr>
            </w:pPr>
            <w:r w:rsidRPr="00FC1B31">
              <w:rPr>
                <w:rFonts w:eastAsiaTheme="minorEastAsia"/>
                <w:lang w:eastAsia="en-AU"/>
              </w:rPr>
              <w:t>($ million)</w:t>
            </w:r>
          </w:p>
        </w:tc>
      </w:tr>
      <w:tr w:rsidR="00DB2687" w:rsidRPr="00FC1B31" w:rsidTr="0098754D">
        <w:trPr>
          <w:cantSplit/>
          <w:tblHeader/>
        </w:trPr>
        <w:tc>
          <w:tcPr>
            <w:tcW w:w="1134" w:type="dxa"/>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2014-15 </w:t>
            </w:r>
          </w:p>
        </w:tc>
        <w:tc>
          <w:tcPr>
            <w:tcW w:w="6520" w:type="dxa"/>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1985" w:type="dxa"/>
            <w:gridSpan w:val="3"/>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center"/>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2015-16</w:t>
            </w:r>
          </w:p>
        </w:tc>
      </w:tr>
      <w:tr w:rsidR="00DB2687" w:rsidRPr="00FC1B31" w:rsidTr="002F3A23">
        <w:trPr>
          <w:cantSplit/>
          <w:trHeight w:val="537"/>
          <w:tblHeader/>
        </w:trPr>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Actual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to Sep</w:t>
            </w:r>
          </w:p>
        </w:tc>
        <w:tc>
          <w:tcPr>
            <w:tcW w:w="6520"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849" w:type="dxa"/>
            <w:gridSpan w:val="2"/>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Actual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to Sep</w:t>
            </w:r>
          </w:p>
        </w:tc>
        <w:tc>
          <w:tcPr>
            <w:tcW w:w="1136"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Annual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budget</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Defined benefit plans </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258</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Net superannuation interest expense</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223</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886</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171</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Current service cost </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208</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826</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proofErr w:type="spellStart"/>
            <w:r w:rsidRPr="00FC1B31">
              <w:rPr>
                <w:rFonts w:ascii="Calibri" w:eastAsiaTheme="minorEastAsia" w:hAnsi="Calibri" w:cs="Calibri"/>
                <w:color w:val="000000"/>
                <w:sz w:val="22"/>
                <w:szCs w:val="22"/>
                <w:lang w:eastAsia="en-AU"/>
              </w:rPr>
              <w:t>Remeasurements</w:t>
            </w:r>
            <w:proofErr w:type="spellEnd"/>
            <w:r w:rsidRPr="00FC1B31">
              <w:rPr>
                <w:rFonts w:ascii="Calibri" w:eastAsiaTheme="minorEastAsia" w:hAnsi="Calibri" w:cs="Calibri"/>
                <w:color w:val="000000"/>
                <w:sz w:val="22"/>
                <w:szCs w:val="22"/>
                <w:lang w:eastAsia="en-AU"/>
              </w:rPr>
              <w:t>:</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(126)</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 xml:space="preserve">   </w:t>
            </w:r>
            <w:r w:rsidRPr="00FC1B31">
              <w:rPr>
                <w:rFonts w:ascii="Calibri" w:eastAsiaTheme="minorEastAsia" w:hAnsi="Calibri" w:cs="Calibri"/>
                <w:color w:val="000000"/>
                <w:sz w:val="22"/>
                <w:szCs w:val="22"/>
                <w:lang w:eastAsia="en-AU"/>
              </w:rPr>
              <w:t>Expected return on superannuation assets excluding interest income</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(243)</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(962)</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56</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 xml:space="preserve">   </w:t>
            </w:r>
            <w:r w:rsidRPr="00FC1B31">
              <w:rPr>
                <w:rFonts w:ascii="Calibri" w:eastAsiaTheme="minorEastAsia" w:hAnsi="Calibri" w:cs="Calibri"/>
                <w:color w:val="000000"/>
                <w:sz w:val="22"/>
                <w:szCs w:val="22"/>
                <w:lang w:eastAsia="en-AU"/>
              </w:rPr>
              <w:t>Other actuarial (gain)/loss on superannuation assets</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691</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w:t>
            </w:r>
          </w:p>
        </w:tc>
      </w:tr>
      <w:tr w:rsidR="00DB2687" w:rsidRPr="00FC1B31" w:rsidTr="00DB2687">
        <w:trPr>
          <w:cantSplit/>
        </w:trPr>
        <w:tc>
          <w:tcPr>
            <w:tcW w:w="1134"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(51)</w:t>
            </w:r>
          </w:p>
        </w:tc>
        <w:tc>
          <w:tcPr>
            <w:tcW w:w="6662" w:type="dxa"/>
            <w:gridSpan w:val="2"/>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 xml:space="preserve">   </w:t>
            </w:r>
            <w:r w:rsidRPr="00FC1B31">
              <w:rPr>
                <w:rFonts w:ascii="Calibri" w:eastAsiaTheme="minorEastAsia" w:hAnsi="Calibri" w:cs="Calibri"/>
                <w:color w:val="000000"/>
                <w:sz w:val="22"/>
                <w:szCs w:val="22"/>
                <w:lang w:eastAsia="en-AU"/>
              </w:rPr>
              <w:t>Actuarial and other adjustments to unfunded superannuation liability</w:t>
            </w:r>
          </w:p>
        </w:tc>
        <w:tc>
          <w:tcPr>
            <w:tcW w:w="707"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1 486</w:t>
            </w:r>
          </w:p>
        </w:tc>
        <w:tc>
          <w:tcPr>
            <w:tcW w:w="1136"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w:t>
            </w:r>
          </w:p>
        </w:tc>
      </w:tr>
      <w:tr w:rsidR="00DB2687" w:rsidRPr="00FC1B31" w:rsidTr="00DB2687">
        <w:trPr>
          <w:cantSplit/>
        </w:trPr>
        <w:tc>
          <w:tcPr>
            <w:tcW w:w="1134" w:type="dxa"/>
            <w:tcBorders>
              <w:top w:val="single" w:sz="6"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308</w:t>
            </w:r>
          </w:p>
        </w:tc>
        <w:tc>
          <w:tcPr>
            <w:tcW w:w="6520" w:type="dxa"/>
            <w:tcBorders>
              <w:top w:val="single" w:sz="6" w:space="0" w:color="000000"/>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Total </w:t>
            </w:r>
            <w:r>
              <w:rPr>
                <w:rFonts w:ascii="Calibri" w:eastAsiaTheme="minorEastAsia" w:hAnsi="Calibri" w:cs="Calibri"/>
                <w:b/>
                <w:bCs/>
                <w:color w:val="000000"/>
                <w:sz w:val="22"/>
                <w:szCs w:val="22"/>
                <w:lang w:eastAsia="en-AU"/>
              </w:rPr>
              <w:t>(gain)/expense</w:t>
            </w:r>
            <w:r w:rsidRPr="00FC1B31">
              <w:rPr>
                <w:rFonts w:ascii="Calibri" w:eastAsiaTheme="minorEastAsia" w:hAnsi="Calibri" w:cs="Calibri"/>
                <w:b/>
                <w:bCs/>
                <w:color w:val="000000"/>
                <w:sz w:val="22"/>
                <w:szCs w:val="22"/>
                <w:lang w:eastAsia="en-AU"/>
              </w:rPr>
              <w:t xml:space="preserve"> recognised in respect of defined benefit plans</w:t>
            </w:r>
          </w:p>
        </w:tc>
        <w:tc>
          <w:tcPr>
            <w:tcW w:w="849" w:type="dxa"/>
            <w:gridSpan w:val="2"/>
            <w:tcBorders>
              <w:top w:val="single" w:sz="6"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2 366</w:t>
            </w:r>
          </w:p>
        </w:tc>
        <w:tc>
          <w:tcPr>
            <w:tcW w:w="1136" w:type="dxa"/>
            <w:tcBorders>
              <w:top w:val="single" w:sz="6"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750</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Defined contribution plans</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292</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Employer contributions to defined contribution plans </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321</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1 214</w:t>
            </w:r>
          </w:p>
        </w:tc>
      </w:tr>
      <w:tr w:rsidR="00DB2687" w:rsidRPr="00FC1B31" w:rsidTr="00DB2687">
        <w:trPr>
          <w:cantSplit/>
        </w:trPr>
        <w:tc>
          <w:tcPr>
            <w:tcW w:w="1134"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20</w:t>
            </w:r>
          </w:p>
        </w:tc>
        <w:tc>
          <w:tcPr>
            <w:tcW w:w="6520"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Other (including pensions)</w:t>
            </w:r>
          </w:p>
        </w:tc>
        <w:tc>
          <w:tcPr>
            <w:tcW w:w="849" w:type="dxa"/>
            <w:gridSpan w:val="2"/>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25</w:t>
            </w:r>
          </w:p>
        </w:tc>
        <w:tc>
          <w:tcPr>
            <w:tcW w:w="1136"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62</w:t>
            </w:r>
          </w:p>
        </w:tc>
      </w:tr>
      <w:tr w:rsidR="00DB2687" w:rsidRPr="00FC1B31" w:rsidTr="00DB2687">
        <w:trPr>
          <w:cantSplit/>
        </w:trPr>
        <w:tc>
          <w:tcPr>
            <w:tcW w:w="1134" w:type="dxa"/>
            <w:tcBorders>
              <w:top w:val="single" w:sz="6"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312</w:t>
            </w:r>
          </w:p>
        </w:tc>
        <w:tc>
          <w:tcPr>
            <w:tcW w:w="6520" w:type="dxa"/>
            <w:tcBorders>
              <w:top w:val="single" w:sz="6" w:space="0" w:color="000000"/>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Total expense recognised in respect of defined contribution plans</w:t>
            </w:r>
          </w:p>
        </w:tc>
        <w:tc>
          <w:tcPr>
            <w:tcW w:w="849" w:type="dxa"/>
            <w:gridSpan w:val="2"/>
            <w:tcBorders>
              <w:top w:val="single" w:sz="6"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346</w:t>
            </w:r>
          </w:p>
        </w:tc>
        <w:tc>
          <w:tcPr>
            <w:tcW w:w="1136" w:type="dxa"/>
            <w:tcBorders>
              <w:top w:val="single" w:sz="6"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1 276</w:t>
            </w:r>
          </w:p>
        </w:tc>
      </w:tr>
      <w:tr w:rsidR="00DB2687" w:rsidRPr="00FC1B31" w:rsidTr="00DB2687">
        <w:trPr>
          <w:cantSplit/>
        </w:trPr>
        <w:tc>
          <w:tcPr>
            <w:tcW w:w="1134" w:type="dxa"/>
            <w:tcBorders>
              <w:top w:val="nil"/>
              <w:left w:val="nil"/>
              <w:bottom w:val="single" w:sz="12"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621</w:t>
            </w:r>
          </w:p>
        </w:tc>
        <w:tc>
          <w:tcPr>
            <w:tcW w:w="6520" w:type="dxa"/>
            <w:tcBorders>
              <w:top w:val="nil"/>
              <w:left w:val="nil"/>
              <w:bottom w:val="single" w:sz="12" w:space="0" w:color="000000"/>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Total superannuation (gain)/expense recognised in operating statement</w:t>
            </w:r>
          </w:p>
        </w:tc>
        <w:tc>
          <w:tcPr>
            <w:tcW w:w="849" w:type="dxa"/>
            <w:gridSpan w:val="2"/>
            <w:tcBorders>
              <w:top w:val="nil"/>
              <w:left w:val="nil"/>
              <w:bottom w:val="single" w:sz="12"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2 711</w:t>
            </w:r>
          </w:p>
        </w:tc>
        <w:tc>
          <w:tcPr>
            <w:tcW w:w="1136" w:type="dxa"/>
            <w:tcBorders>
              <w:top w:val="nil"/>
              <w:left w:val="nil"/>
              <w:bottom w:val="single" w:sz="12"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2 026</w:t>
            </w:r>
          </w:p>
        </w:tc>
      </w:tr>
      <w:tr w:rsidR="00DB2687" w:rsidRPr="00FC1B31" w:rsidTr="00DB2687">
        <w:trPr>
          <w:cantSplit/>
        </w:trPr>
        <w:tc>
          <w:tcPr>
            <w:tcW w:w="1134" w:type="dxa"/>
            <w:tcBorders>
              <w:top w:val="single" w:sz="12"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c>
          <w:tcPr>
            <w:tcW w:w="6520" w:type="dxa"/>
            <w:tcBorders>
              <w:top w:val="single" w:sz="12" w:space="0" w:color="000000"/>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Represented by:</w:t>
            </w:r>
          </w:p>
        </w:tc>
        <w:tc>
          <w:tcPr>
            <w:tcW w:w="849" w:type="dxa"/>
            <w:gridSpan w:val="2"/>
            <w:tcBorders>
              <w:top w:val="single" w:sz="12"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c>
          <w:tcPr>
            <w:tcW w:w="1136" w:type="dxa"/>
            <w:tcBorders>
              <w:top w:val="single" w:sz="12" w:space="0" w:color="000000"/>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w:t>
            </w:r>
          </w:p>
        </w:tc>
      </w:tr>
      <w:tr w:rsidR="00DB2687" w:rsidRPr="00FC1B31" w:rsidTr="00DB2687">
        <w:trPr>
          <w:cantSplit/>
        </w:trPr>
        <w:tc>
          <w:tcPr>
            <w:tcW w:w="1134"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258</w:t>
            </w:r>
          </w:p>
        </w:tc>
        <w:tc>
          <w:tcPr>
            <w:tcW w:w="6520" w:type="dxa"/>
            <w:tcBorders>
              <w:top w:val="nil"/>
              <w:left w:val="nil"/>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Superannuation interest expense</w:t>
            </w:r>
          </w:p>
        </w:tc>
        <w:tc>
          <w:tcPr>
            <w:tcW w:w="849" w:type="dxa"/>
            <w:gridSpan w:val="2"/>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223</w:t>
            </w:r>
          </w:p>
        </w:tc>
        <w:tc>
          <w:tcPr>
            <w:tcW w:w="1136" w:type="dxa"/>
            <w:tcBorders>
              <w:top w:val="nil"/>
              <w:left w:val="nil"/>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886</w:t>
            </w:r>
          </w:p>
        </w:tc>
      </w:tr>
      <w:tr w:rsidR="00DB2687" w:rsidRPr="00FC1B31" w:rsidTr="00DB2687">
        <w:trPr>
          <w:cantSplit/>
        </w:trPr>
        <w:tc>
          <w:tcPr>
            <w:tcW w:w="1134"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484</w:t>
            </w:r>
          </w:p>
        </w:tc>
        <w:tc>
          <w:tcPr>
            <w:tcW w:w="6520"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Other superannuation</w:t>
            </w:r>
          </w:p>
        </w:tc>
        <w:tc>
          <w:tcPr>
            <w:tcW w:w="849" w:type="dxa"/>
            <w:gridSpan w:val="2"/>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554</w:t>
            </w:r>
          </w:p>
        </w:tc>
        <w:tc>
          <w:tcPr>
            <w:tcW w:w="1136" w:type="dxa"/>
            <w:tcBorders>
              <w:top w:val="nil"/>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2 102</w:t>
            </w:r>
          </w:p>
        </w:tc>
      </w:tr>
      <w:tr w:rsidR="00DB2687" w:rsidRPr="00FC1B31" w:rsidTr="00DB2687">
        <w:trPr>
          <w:cantSplit/>
        </w:trPr>
        <w:tc>
          <w:tcPr>
            <w:tcW w:w="1134" w:type="dxa"/>
            <w:tcBorders>
              <w:top w:val="single" w:sz="6" w:space="0" w:color="000000"/>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742</w:t>
            </w:r>
          </w:p>
        </w:tc>
        <w:tc>
          <w:tcPr>
            <w:tcW w:w="6520" w:type="dxa"/>
            <w:tcBorders>
              <w:top w:val="single" w:sz="6" w:space="0" w:color="000000"/>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Superannuation expense from transactions</w:t>
            </w:r>
          </w:p>
        </w:tc>
        <w:tc>
          <w:tcPr>
            <w:tcW w:w="849" w:type="dxa"/>
            <w:gridSpan w:val="2"/>
            <w:tcBorders>
              <w:top w:val="single" w:sz="6" w:space="0" w:color="000000"/>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777</w:t>
            </w:r>
          </w:p>
        </w:tc>
        <w:tc>
          <w:tcPr>
            <w:tcW w:w="1136" w:type="dxa"/>
            <w:tcBorders>
              <w:top w:val="single" w:sz="6" w:space="0" w:color="000000"/>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2 988</w:t>
            </w:r>
          </w:p>
        </w:tc>
      </w:tr>
      <w:tr w:rsidR="00DB2687" w:rsidRPr="00FC1B31" w:rsidTr="00DB2687">
        <w:trPr>
          <w:cantSplit/>
        </w:trPr>
        <w:tc>
          <w:tcPr>
            <w:tcW w:w="1134" w:type="dxa"/>
            <w:tcBorders>
              <w:top w:val="single" w:sz="6" w:space="0" w:color="000000"/>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(121)</w:t>
            </w:r>
          </w:p>
        </w:tc>
        <w:tc>
          <w:tcPr>
            <w:tcW w:w="6520" w:type="dxa"/>
            <w:tcBorders>
              <w:top w:val="single" w:sz="6" w:space="0" w:color="000000"/>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proofErr w:type="spellStart"/>
            <w:r w:rsidRPr="00FC1B31">
              <w:rPr>
                <w:rFonts w:ascii="Calibri" w:eastAsiaTheme="minorEastAsia" w:hAnsi="Calibri" w:cs="Calibri"/>
                <w:b/>
                <w:bCs/>
                <w:color w:val="000000"/>
                <w:sz w:val="22"/>
                <w:szCs w:val="22"/>
                <w:lang w:eastAsia="en-AU"/>
              </w:rPr>
              <w:t>Remeasurement</w:t>
            </w:r>
            <w:proofErr w:type="spellEnd"/>
            <w:r w:rsidRPr="00FC1B31">
              <w:rPr>
                <w:rFonts w:ascii="Calibri" w:eastAsiaTheme="minorEastAsia" w:hAnsi="Calibri" w:cs="Calibri"/>
                <w:b/>
                <w:bCs/>
                <w:color w:val="000000"/>
                <w:sz w:val="22"/>
                <w:szCs w:val="22"/>
                <w:lang w:eastAsia="en-AU"/>
              </w:rPr>
              <w:t xml:space="preserve"> recognised in other comprehensive income</w:t>
            </w:r>
          </w:p>
        </w:tc>
        <w:tc>
          <w:tcPr>
            <w:tcW w:w="849" w:type="dxa"/>
            <w:gridSpan w:val="2"/>
            <w:tcBorders>
              <w:top w:val="single" w:sz="6" w:space="0" w:color="000000"/>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1 934</w:t>
            </w:r>
          </w:p>
        </w:tc>
        <w:tc>
          <w:tcPr>
            <w:tcW w:w="1136" w:type="dxa"/>
            <w:tcBorders>
              <w:top w:val="single" w:sz="6" w:space="0" w:color="000000"/>
              <w:left w:val="nil"/>
              <w:bottom w:val="single" w:sz="6"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(962)</w:t>
            </w:r>
          </w:p>
        </w:tc>
      </w:tr>
      <w:tr w:rsidR="00DB2687" w:rsidRPr="00FC1B31" w:rsidTr="00DB2687">
        <w:trPr>
          <w:cantSplit/>
        </w:trPr>
        <w:tc>
          <w:tcPr>
            <w:tcW w:w="1134" w:type="dxa"/>
            <w:tcBorders>
              <w:top w:val="single" w:sz="6" w:space="0" w:color="000000"/>
              <w:left w:val="nil"/>
              <w:bottom w:val="single" w:sz="12"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621</w:t>
            </w:r>
          </w:p>
        </w:tc>
        <w:tc>
          <w:tcPr>
            <w:tcW w:w="6520" w:type="dxa"/>
            <w:tcBorders>
              <w:top w:val="single" w:sz="6" w:space="0" w:color="000000"/>
              <w:left w:val="nil"/>
              <w:bottom w:val="single" w:sz="12" w:space="0" w:color="000000"/>
              <w:right w:val="nil"/>
            </w:tcBorders>
            <w:shd w:val="clear" w:color="auto" w:fill="FFFFFF"/>
          </w:tcPr>
          <w:p w:rsidR="00DB2687" w:rsidRPr="00FC1B31" w:rsidRDefault="00DB2687"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Total superannuation costs recognised in operating statement</w:t>
            </w:r>
          </w:p>
        </w:tc>
        <w:tc>
          <w:tcPr>
            <w:tcW w:w="849" w:type="dxa"/>
            <w:gridSpan w:val="2"/>
            <w:tcBorders>
              <w:top w:val="single" w:sz="6" w:space="0" w:color="000000"/>
              <w:left w:val="nil"/>
              <w:bottom w:val="single" w:sz="12"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2 711</w:t>
            </w:r>
          </w:p>
        </w:tc>
        <w:tc>
          <w:tcPr>
            <w:tcW w:w="1136" w:type="dxa"/>
            <w:tcBorders>
              <w:top w:val="single" w:sz="6" w:space="0" w:color="000000"/>
              <w:left w:val="nil"/>
              <w:bottom w:val="single" w:sz="12" w:space="0" w:color="000000"/>
              <w:right w:val="nil"/>
            </w:tcBorders>
            <w:shd w:val="clear" w:color="auto" w:fill="FFFFFF"/>
          </w:tcPr>
          <w:p w:rsidR="00DB2687" w:rsidRPr="00FC1B31" w:rsidRDefault="00DB2687"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2 026</w:t>
            </w:r>
          </w:p>
        </w:tc>
      </w:tr>
    </w:tbl>
    <w:p w:rsidR="00FC1B31" w:rsidRDefault="00FC1B31" w:rsidP="00FC1B31">
      <w:pPr>
        <w:spacing w:after="0"/>
      </w:pPr>
    </w:p>
    <w:p w:rsidR="00FC1B31" w:rsidRDefault="00FC1B31" w:rsidP="00283E0D">
      <w:pPr>
        <w:rPr>
          <w:rFonts w:ascii="Times New Roman" w:hAnsi="Times New Roman"/>
          <w:sz w:val="20"/>
          <w:lang w:eastAsia="en-AU"/>
        </w:rPr>
      </w:pPr>
    </w:p>
    <w:p w:rsidR="003E7CD7" w:rsidRDefault="003E7CD7">
      <w:r>
        <w:rPr>
          <w:b/>
        </w:rPr>
        <w:br w:type="page"/>
      </w:r>
    </w:p>
    <w:p w:rsidR="009A3756" w:rsidRDefault="009A3756" w:rsidP="006644EB">
      <w:pPr>
        <w:pStyle w:val="Heading2NotesQtrly"/>
      </w:pPr>
      <w:bookmarkStart w:id="18" w:name="_Toc435107440"/>
      <w:r>
        <w:lastRenderedPageBreak/>
        <w:t>Note 8:</w:t>
      </w:r>
      <w:r>
        <w:tab/>
        <w:t>Depreciation</w:t>
      </w:r>
      <w:bookmarkEnd w:id="18"/>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9A3756" w:rsidRPr="00FC1B31" w:rsidTr="009A3756">
        <w:trPr>
          <w:cantSplit/>
          <w:tblHeader/>
        </w:trPr>
        <w:tc>
          <w:tcPr>
            <w:tcW w:w="9638" w:type="dxa"/>
            <w:gridSpan w:val="4"/>
            <w:tcBorders>
              <w:top w:val="nil"/>
              <w:left w:val="nil"/>
              <w:bottom w:val="nil"/>
              <w:right w:val="nil"/>
            </w:tcBorders>
          </w:tcPr>
          <w:p w:rsidR="009A3756" w:rsidRPr="00FC1B31" w:rsidRDefault="009A3756" w:rsidP="00FC1B31">
            <w:pPr>
              <w:pStyle w:val="million"/>
              <w:rPr>
                <w:rFonts w:eastAsiaTheme="minorEastAsia"/>
                <w:lang w:eastAsia="en-AU"/>
              </w:rPr>
            </w:pPr>
            <w:r w:rsidRPr="00FC1B31">
              <w:rPr>
                <w:rFonts w:eastAsiaTheme="minorEastAsia"/>
                <w:lang w:eastAsia="en-AU"/>
              </w:rPr>
              <w:t>($ million)</w:t>
            </w:r>
          </w:p>
        </w:tc>
      </w:tr>
      <w:tr w:rsidR="00DB2687" w:rsidRPr="00FC1B31" w:rsidTr="00BA28A2">
        <w:trPr>
          <w:cantSplit/>
          <w:tblHeader/>
        </w:trPr>
        <w:tc>
          <w:tcPr>
            <w:tcW w:w="1134" w:type="dxa"/>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2014-15 </w:t>
            </w:r>
          </w:p>
        </w:tc>
        <w:tc>
          <w:tcPr>
            <w:tcW w:w="6236" w:type="dxa"/>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2268" w:type="dxa"/>
            <w:gridSpan w:val="2"/>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center"/>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2015-16</w:t>
            </w:r>
          </w:p>
        </w:tc>
      </w:tr>
      <w:tr w:rsidR="00DB2687" w:rsidRPr="00FC1B31" w:rsidTr="00D57C71">
        <w:trPr>
          <w:cantSplit/>
          <w:trHeight w:val="537"/>
          <w:tblHeader/>
        </w:trPr>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Actual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Actual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Annual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budget</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245</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FC1B31">
              <w:rPr>
                <w:rFonts w:ascii="Calibri" w:eastAsiaTheme="minorEastAsia" w:hAnsi="Calibri" w:cs="Calibri"/>
                <w:color w:val="000000"/>
                <w:sz w:val="22"/>
                <w:szCs w:val="22"/>
                <w:lang w:eastAsia="en-AU"/>
              </w:rPr>
              <w:t>Buildings</w:t>
            </w:r>
            <w:r w:rsidRPr="00FC1B31">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248</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1 028</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23</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Leasehold buildings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28</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98</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10</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Infrastructure systems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8</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28</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139</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Plant, equipment and vehicles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136</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657</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144</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Road and road networks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151</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646</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5</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Cultural assets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4</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25</w:t>
            </w:r>
          </w:p>
        </w:tc>
      </w:tr>
      <w:tr w:rsidR="009A3756" w:rsidRPr="00FC1B31" w:rsidTr="009A3756">
        <w:trPr>
          <w:cantSplit/>
        </w:trPr>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32</w:t>
            </w:r>
          </w:p>
        </w:tc>
        <w:tc>
          <w:tcPr>
            <w:tcW w:w="6236"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Intangible produced assets</w:t>
            </w:r>
          </w:p>
        </w:tc>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31</w:t>
            </w:r>
          </w:p>
        </w:tc>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94</w:t>
            </w:r>
          </w:p>
        </w:tc>
      </w:tr>
      <w:tr w:rsidR="009A3756" w:rsidRPr="00FC1B31" w:rsidTr="009A3756">
        <w:trPr>
          <w:cantSplit/>
        </w:trPr>
        <w:tc>
          <w:tcPr>
            <w:tcW w:w="1134" w:type="dxa"/>
            <w:tcBorders>
              <w:top w:val="single" w:sz="6" w:space="0" w:color="000000"/>
              <w:left w:val="nil"/>
              <w:bottom w:val="single" w:sz="12" w:space="0" w:color="auto"/>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597</w:t>
            </w:r>
          </w:p>
        </w:tc>
        <w:tc>
          <w:tcPr>
            <w:tcW w:w="6236" w:type="dxa"/>
            <w:tcBorders>
              <w:top w:val="single" w:sz="6" w:space="0" w:color="000000"/>
              <w:left w:val="nil"/>
              <w:bottom w:val="single" w:sz="12" w:space="0" w:color="auto"/>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FC1B31">
              <w:rPr>
                <w:rFonts w:ascii="Calibri" w:eastAsiaTheme="minorEastAsia" w:hAnsi="Calibri" w:cs="Calibri"/>
                <w:b/>
                <w:bCs/>
                <w:color w:val="000000"/>
                <w:sz w:val="22"/>
                <w:szCs w:val="22"/>
                <w:lang w:eastAsia="en-AU"/>
              </w:rPr>
              <w:t>Total depreciation</w:t>
            </w:r>
            <w:r w:rsidRPr="00FC1B31">
              <w:rPr>
                <w:rFonts w:ascii="Calibri" w:eastAsiaTheme="minorEastAsia" w:hAnsi="Calibri" w:cs="Calibri"/>
                <w:b/>
                <w:bCs/>
                <w:color w:val="000000"/>
                <w:sz w:val="22"/>
                <w:szCs w:val="22"/>
                <w:vertAlign w:val="superscript"/>
                <w:lang w:eastAsia="en-AU"/>
              </w:rPr>
              <w:t>(a)</w:t>
            </w:r>
          </w:p>
        </w:tc>
        <w:tc>
          <w:tcPr>
            <w:tcW w:w="1134" w:type="dxa"/>
            <w:tcBorders>
              <w:top w:val="single" w:sz="6" w:space="0" w:color="000000"/>
              <w:left w:val="nil"/>
              <w:bottom w:val="single" w:sz="12" w:space="0" w:color="auto"/>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605</w:t>
            </w:r>
          </w:p>
        </w:tc>
        <w:tc>
          <w:tcPr>
            <w:tcW w:w="1134" w:type="dxa"/>
            <w:tcBorders>
              <w:top w:val="single" w:sz="6" w:space="0" w:color="000000"/>
              <w:left w:val="nil"/>
              <w:bottom w:val="single" w:sz="12" w:space="0" w:color="auto"/>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2 577</w:t>
            </w:r>
          </w:p>
        </w:tc>
      </w:tr>
      <w:tr w:rsidR="009A3756" w:rsidRPr="00FC1B31" w:rsidTr="009A3756">
        <w:trPr>
          <w:cantSplit/>
        </w:trPr>
        <w:tc>
          <w:tcPr>
            <w:tcW w:w="9638" w:type="dxa"/>
            <w:gridSpan w:val="4"/>
            <w:tcBorders>
              <w:top w:val="single" w:sz="12" w:space="0" w:color="auto"/>
              <w:left w:val="nil"/>
              <w:bottom w:val="nil"/>
              <w:right w:val="nil"/>
            </w:tcBorders>
            <w:shd w:val="clear" w:color="auto" w:fill="auto"/>
          </w:tcPr>
          <w:p w:rsidR="009A3756" w:rsidRPr="00FC1B31" w:rsidRDefault="009A3756" w:rsidP="00FC1B31">
            <w:pPr>
              <w:pStyle w:val="Notes"/>
              <w:rPr>
                <w:rFonts w:eastAsiaTheme="minorEastAsia"/>
                <w:lang w:eastAsia="en-AU"/>
              </w:rPr>
            </w:pPr>
            <w:r w:rsidRPr="00FC1B31">
              <w:rPr>
                <w:rFonts w:eastAsiaTheme="minorEastAsia"/>
                <w:lang w:eastAsia="en-AU"/>
              </w:rPr>
              <w:t>Note:</w:t>
            </w:r>
          </w:p>
        </w:tc>
      </w:tr>
      <w:tr w:rsidR="009A3756" w:rsidRPr="00FC1B31" w:rsidTr="009A3756">
        <w:trPr>
          <w:cantSplit/>
        </w:trPr>
        <w:tc>
          <w:tcPr>
            <w:tcW w:w="9638" w:type="dxa"/>
            <w:gridSpan w:val="4"/>
            <w:tcBorders>
              <w:top w:val="nil"/>
              <w:left w:val="nil"/>
              <w:bottom w:val="nil"/>
              <w:right w:val="nil"/>
            </w:tcBorders>
          </w:tcPr>
          <w:p w:rsidR="009A3756" w:rsidRPr="00FC1B31" w:rsidRDefault="009A3756" w:rsidP="00B566C6">
            <w:pPr>
              <w:pStyle w:val="Notes"/>
              <w:rPr>
                <w:rFonts w:eastAsiaTheme="minorEastAsia"/>
                <w:lang w:eastAsia="en-AU"/>
              </w:rPr>
            </w:pPr>
            <w:r>
              <w:rPr>
                <w:rFonts w:eastAsiaTheme="minorEastAsia"/>
                <w:lang w:eastAsia="en-AU"/>
              </w:rPr>
              <w:t>(a)</w:t>
            </w:r>
            <w:r>
              <w:rPr>
                <w:rFonts w:eastAsiaTheme="minorEastAsia"/>
                <w:lang w:eastAsia="en-AU"/>
              </w:rPr>
              <w:tab/>
              <w:t>September 2014-15 comparative figures have been restated to reflect more current information.</w:t>
            </w:r>
          </w:p>
        </w:tc>
      </w:tr>
    </w:tbl>
    <w:p w:rsidR="00283E0D" w:rsidRDefault="00283E0D" w:rsidP="00FC6048"/>
    <w:p w:rsidR="00430D4B" w:rsidRDefault="00430D4B" w:rsidP="00FC6048"/>
    <w:p w:rsidR="00166C5A" w:rsidRDefault="00283E0D" w:rsidP="00166C5A">
      <w:pPr>
        <w:pStyle w:val="Heading2NotesQtrly"/>
      </w:pPr>
      <w:bookmarkStart w:id="19" w:name="_Toc435107441"/>
      <w:r w:rsidRPr="003E7CD7">
        <w:t>Note 9:</w:t>
      </w:r>
      <w:r w:rsidRPr="003E7CD7">
        <w:tab/>
      </w:r>
      <w:r w:rsidR="005C37AB" w:rsidRPr="003E7CD7">
        <w:t>Expenses by government purpose and by department</w:t>
      </w:r>
      <w:bookmarkEnd w:id="19"/>
    </w:p>
    <w:p w:rsidR="009A3756" w:rsidRDefault="009A3756" w:rsidP="009A3756">
      <w:pPr>
        <w:pStyle w:val="Tableheading"/>
        <w:rPr>
          <w:lang w:eastAsia="en-AU"/>
        </w:rPr>
      </w:pPr>
      <w:r w:rsidRPr="009A3756">
        <w:rPr>
          <w:lang w:eastAsia="en-AU"/>
        </w:rPr>
        <w:t>(a)</w:t>
      </w:r>
      <w:r w:rsidRPr="009A3756">
        <w:rPr>
          <w:lang w:eastAsia="en-AU"/>
        </w:rPr>
        <w:tab/>
        <w:t>Total expenses by govern</w:t>
      </w:r>
      <w:r>
        <w:rPr>
          <w:lang w:eastAsia="en-AU"/>
        </w:rPr>
        <w:t>ment purpose classification</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9A3756" w:rsidRPr="00166C5A" w:rsidTr="009A3756">
        <w:trPr>
          <w:cantSplit/>
          <w:tblHeader/>
        </w:trPr>
        <w:tc>
          <w:tcPr>
            <w:tcW w:w="9638" w:type="dxa"/>
            <w:gridSpan w:val="4"/>
            <w:tcBorders>
              <w:top w:val="nil"/>
              <w:left w:val="nil"/>
              <w:bottom w:val="nil"/>
              <w:right w:val="nil"/>
            </w:tcBorders>
          </w:tcPr>
          <w:p w:rsidR="009A3756" w:rsidRPr="00166C5A" w:rsidRDefault="009A3756" w:rsidP="00166C5A">
            <w:pPr>
              <w:pStyle w:val="million"/>
              <w:rPr>
                <w:rFonts w:eastAsiaTheme="minorEastAsia"/>
                <w:lang w:eastAsia="en-AU"/>
              </w:rPr>
            </w:pPr>
            <w:r w:rsidRPr="00166C5A">
              <w:rPr>
                <w:rFonts w:eastAsiaTheme="minorEastAsia"/>
                <w:lang w:eastAsia="en-AU"/>
              </w:rPr>
              <w:t>($ million)</w:t>
            </w:r>
          </w:p>
        </w:tc>
      </w:tr>
      <w:tr w:rsidR="00DB2687" w:rsidRPr="00166C5A" w:rsidTr="004D3EC7">
        <w:trPr>
          <w:cantSplit/>
          <w:tblHeader/>
        </w:trPr>
        <w:tc>
          <w:tcPr>
            <w:tcW w:w="1134" w:type="dxa"/>
            <w:tcBorders>
              <w:top w:val="nil"/>
              <w:left w:val="nil"/>
              <w:bottom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2014-15</w:t>
            </w:r>
          </w:p>
        </w:tc>
        <w:tc>
          <w:tcPr>
            <w:tcW w:w="6236" w:type="dxa"/>
            <w:tcBorders>
              <w:top w:val="nil"/>
              <w:left w:val="nil"/>
              <w:bottom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 </w:t>
            </w:r>
          </w:p>
        </w:tc>
        <w:tc>
          <w:tcPr>
            <w:tcW w:w="2268" w:type="dxa"/>
            <w:gridSpan w:val="2"/>
            <w:tcBorders>
              <w:top w:val="nil"/>
              <w:left w:val="nil"/>
              <w:bottom w:val="nil"/>
              <w:right w:val="nil"/>
            </w:tcBorders>
            <w:shd w:val="solid" w:color="000000" w:fill="auto"/>
          </w:tcPr>
          <w:p w:rsidR="00DB2687" w:rsidRPr="00166C5A" w:rsidRDefault="00DB2687" w:rsidP="00166C5A">
            <w:pPr>
              <w:autoSpaceDE w:val="0"/>
              <w:autoSpaceDN w:val="0"/>
              <w:adjustRightInd w:val="0"/>
              <w:spacing w:after="0"/>
              <w:jc w:val="center"/>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2015-16</w:t>
            </w:r>
          </w:p>
        </w:tc>
      </w:tr>
      <w:tr w:rsidR="00DB2687" w:rsidRPr="00166C5A" w:rsidTr="002B3692">
        <w:trPr>
          <w:cantSplit/>
          <w:trHeight w:val="537"/>
          <w:tblHeader/>
        </w:trPr>
        <w:tc>
          <w:tcPr>
            <w:tcW w:w="1134" w:type="dxa"/>
            <w:tcBorders>
              <w:top w:val="nil"/>
              <w:left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Actual </w:t>
            </w:r>
          </w:p>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to Sep</w:t>
            </w:r>
            <w:r w:rsidRPr="00D3166E">
              <w:rPr>
                <w:rFonts w:ascii="Calibri" w:eastAsiaTheme="minorEastAsia" w:hAnsi="Calibri" w:cs="Calibri"/>
                <w:i/>
                <w:iCs/>
                <w:color w:val="FFFFFF"/>
                <w:sz w:val="22"/>
                <w:vertAlign w:val="superscript"/>
                <w:lang w:eastAsia="en-AU"/>
              </w:rPr>
              <w:t>(a)</w:t>
            </w:r>
          </w:p>
        </w:tc>
        <w:tc>
          <w:tcPr>
            <w:tcW w:w="6236" w:type="dxa"/>
            <w:tcBorders>
              <w:top w:val="nil"/>
              <w:left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 </w:t>
            </w:r>
          </w:p>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 </w:t>
            </w:r>
          </w:p>
        </w:tc>
        <w:tc>
          <w:tcPr>
            <w:tcW w:w="1134" w:type="dxa"/>
            <w:tcBorders>
              <w:top w:val="nil"/>
              <w:left w:val="nil"/>
              <w:right w:val="nil"/>
            </w:tcBorders>
            <w:shd w:val="solid" w:color="000000" w:fill="auto"/>
          </w:tcPr>
          <w:p w:rsidR="00DB2687" w:rsidRPr="00166C5A" w:rsidRDefault="00DB2687" w:rsidP="002E270C">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Actual </w:t>
            </w:r>
          </w:p>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Pr>
                <w:rFonts w:ascii="Calibri" w:eastAsiaTheme="minorEastAsia" w:hAnsi="Calibri" w:cs="Calibri"/>
                <w:i/>
                <w:iCs/>
                <w:color w:val="FFFFFF"/>
                <w:sz w:val="22"/>
                <w:lang w:eastAsia="en-AU"/>
              </w:rPr>
              <w:t xml:space="preserve">to </w:t>
            </w:r>
            <w:r w:rsidRPr="00166C5A">
              <w:rPr>
                <w:rFonts w:ascii="Calibri" w:eastAsiaTheme="minorEastAsia" w:hAnsi="Calibri" w:cs="Calibri"/>
                <w:i/>
                <w:iCs/>
                <w:color w:val="FFFFFF"/>
                <w:sz w:val="22"/>
                <w:lang w:eastAsia="en-AU"/>
              </w:rPr>
              <w:t>Sep</w:t>
            </w:r>
          </w:p>
        </w:tc>
        <w:tc>
          <w:tcPr>
            <w:tcW w:w="1134" w:type="dxa"/>
            <w:tcBorders>
              <w:top w:val="nil"/>
              <w:left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Annual  </w:t>
            </w:r>
          </w:p>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Pr>
                <w:rFonts w:ascii="Calibri" w:eastAsiaTheme="minorEastAsia" w:hAnsi="Calibri" w:cs="Calibri"/>
                <w:i/>
                <w:iCs/>
                <w:color w:val="FFFFFF"/>
                <w:sz w:val="22"/>
                <w:lang w:eastAsia="en-AU"/>
              </w:rPr>
              <w:t>budget</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218</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General public services</w:t>
            </w:r>
            <w:r w:rsidRPr="00761476">
              <w:rPr>
                <w:rFonts w:ascii="Calibri" w:eastAsiaTheme="minorEastAsia" w:hAnsi="Calibri" w:cs="Calibri"/>
                <w:color w:val="000000"/>
                <w:sz w:val="22"/>
                <w:vertAlign w:val="superscript"/>
                <w:lang w:eastAsia="en-AU"/>
              </w:rPr>
              <w:t>(b)</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423</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1 920</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1 362</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Public order and safety</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1 447</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6 128</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3 180</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Education</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3 424</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14 042</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3 510</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Health </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3 611</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15 264</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976</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Social security and welfare</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1 095</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4 345</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616</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Housing and community amenities</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631</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3 170</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198</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Recreation and culture</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171</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647</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17</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Fuel and energy</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42</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185</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72</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Agriculture, forestry, fishing, and hunting</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49</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376</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1 412</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vertAlign w:val="superscript"/>
                <w:lang w:eastAsia="en-AU"/>
              </w:rPr>
            </w:pPr>
            <w:r w:rsidRPr="00166C5A">
              <w:rPr>
                <w:rFonts w:ascii="Calibri" w:eastAsiaTheme="minorEastAsia" w:hAnsi="Calibri" w:cs="Calibri"/>
                <w:color w:val="000000"/>
                <w:sz w:val="22"/>
                <w:lang w:eastAsia="en-AU"/>
              </w:rPr>
              <w:t>Transport and communications</w:t>
            </w:r>
            <w:r w:rsidRPr="00166C5A">
              <w:rPr>
                <w:rFonts w:ascii="Calibri" w:eastAsiaTheme="minorEastAsia" w:hAnsi="Calibri" w:cs="Calibri"/>
                <w:color w:val="000000"/>
                <w:sz w:val="22"/>
                <w:vertAlign w:val="superscript"/>
                <w:lang w:eastAsia="en-AU"/>
              </w:rPr>
              <w:t xml:space="preserve"> </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1 537</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6 313</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377</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Other economic affairs</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233</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820</w:t>
            </w:r>
          </w:p>
        </w:tc>
      </w:tr>
      <w:tr w:rsidR="009A3756" w:rsidRPr="00166C5A" w:rsidTr="009A3756">
        <w:trPr>
          <w:cantSplit/>
        </w:trPr>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498</w:t>
            </w:r>
          </w:p>
        </w:tc>
        <w:tc>
          <w:tcPr>
            <w:tcW w:w="6236"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vertAlign w:val="superscript"/>
                <w:lang w:eastAsia="en-AU"/>
              </w:rPr>
            </w:pPr>
            <w:r w:rsidRPr="00166C5A">
              <w:rPr>
                <w:rFonts w:ascii="Calibri" w:eastAsiaTheme="minorEastAsia" w:hAnsi="Calibri" w:cs="Calibri"/>
                <w:color w:val="000000"/>
                <w:sz w:val="22"/>
                <w:lang w:eastAsia="en-AU"/>
              </w:rPr>
              <w:t>Other purposes</w:t>
            </w:r>
            <w:r>
              <w:rPr>
                <w:rFonts w:ascii="Calibri" w:eastAsiaTheme="minorEastAsia" w:hAnsi="Calibri" w:cs="Calibri"/>
                <w:color w:val="000000"/>
                <w:sz w:val="22"/>
                <w:vertAlign w:val="superscript"/>
                <w:lang w:eastAsia="en-AU"/>
              </w:rPr>
              <w:t>(b)</w:t>
            </w:r>
          </w:p>
        </w:tc>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377</w:t>
            </w:r>
          </w:p>
        </w:tc>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1 100</w:t>
            </w:r>
          </w:p>
        </w:tc>
      </w:tr>
      <w:tr w:rsidR="009A3756" w:rsidRPr="00166C5A" w:rsidTr="009A3756">
        <w:trPr>
          <w:cantSplit/>
        </w:trPr>
        <w:tc>
          <w:tcPr>
            <w:tcW w:w="1134" w:type="dxa"/>
            <w:tcBorders>
              <w:top w:val="single" w:sz="6" w:space="0" w:color="auto"/>
              <w:left w:val="nil"/>
              <w:bottom w:val="single" w:sz="12" w:space="0" w:color="auto"/>
              <w:right w:val="nil"/>
            </w:tcBorders>
            <w:shd w:val="clear" w:color="auto" w:fill="FFFFFF"/>
          </w:tcPr>
          <w:p w:rsidR="009A3756" w:rsidRPr="000C4827" w:rsidRDefault="009A3756" w:rsidP="00166C5A">
            <w:pPr>
              <w:autoSpaceDE w:val="0"/>
              <w:autoSpaceDN w:val="0"/>
              <w:adjustRightInd w:val="0"/>
              <w:spacing w:after="0"/>
              <w:jc w:val="right"/>
              <w:rPr>
                <w:rFonts w:ascii="Calibri" w:eastAsiaTheme="minorEastAsia" w:hAnsi="Calibri" w:cs="Calibri"/>
                <w:b/>
                <w:color w:val="000000"/>
                <w:sz w:val="22"/>
                <w:lang w:eastAsia="en-AU"/>
              </w:rPr>
            </w:pPr>
            <w:r w:rsidRPr="000C4827">
              <w:rPr>
                <w:rFonts w:ascii="Calibri" w:eastAsiaTheme="minorEastAsia" w:hAnsi="Calibri" w:cs="Calibri"/>
                <w:b/>
                <w:color w:val="000000"/>
                <w:sz w:val="22"/>
                <w:lang w:eastAsia="en-AU"/>
              </w:rPr>
              <w:t>12 438</w:t>
            </w:r>
          </w:p>
        </w:tc>
        <w:tc>
          <w:tcPr>
            <w:tcW w:w="6236" w:type="dxa"/>
            <w:tcBorders>
              <w:top w:val="single" w:sz="6" w:space="0" w:color="auto"/>
              <w:left w:val="nil"/>
              <w:bottom w:val="single" w:sz="12" w:space="0" w:color="auto"/>
              <w:right w:val="nil"/>
            </w:tcBorders>
            <w:shd w:val="clear" w:color="auto" w:fill="FFFFFF"/>
          </w:tcPr>
          <w:p w:rsidR="009A3756" w:rsidRPr="000C4827" w:rsidRDefault="009A3756" w:rsidP="00166C5A">
            <w:pPr>
              <w:autoSpaceDE w:val="0"/>
              <w:autoSpaceDN w:val="0"/>
              <w:adjustRightInd w:val="0"/>
              <w:spacing w:after="0"/>
              <w:ind w:left="340" w:hanging="227"/>
              <w:rPr>
                <w:rFonts w:ascii="Calibri" w:eastAsiaTheme="minorEastAsia" w:hAnsi="Calibri" w:cs="Calibri"/>
                <w:b/>
                <w:bCs/>
                <w:color w:val="000000"/>
                <w:sz w:val="22"/>
                <w:lang w:eastAsia="en-AU"/>
              </w:rPr>
            </w:pPr>
            <w:r w:rsidRPr="000C4827">
              <w:rPr>
                <w:rFonts w:ascii="Calibri" w:eastAsiaTheme="minorEastAsia" w:hAnsi="Calibri" w:cs="Calibri"/>
                <w:b/>
                <w:bCs/>
                <w:color w:val="000000"/>
                <w:sz w:val="22"/>
                <w:lang w:eastAsia="en-AU"/>
              </w:rPr>
              <w:t xml:space="preserve">Total expenses from transactions </w:t>
            </w:r>
          </w:p>
        </w:tc>
        <w:tc>
          <w:tcPr>
            <w:tcW w:w="1134" w:type="dxa"/>
            <w:tcBorders>
              <w:top w:val="single" w:sz="6" w:space="0" w:color="auto"/>
              <w:left w:val="nil"/>
              <w:bottom w:val="single" w:sz="12" w:space="0" w:color="auto"/>
              <w:right w:val="nil"/>
            </w:tcBorders>
            <w:shd w:val="clear" w:color="auto" w:fill="FFFFFF"/>
          </w:tcPr>
          <w:p w:rsidR="009A3756" w:rsidRPr="000C4827" w:rsidRDefault="009A3756" w:rsidP="00166C5A">
            <w:pPr>
              <w:autoSpaceDE w:val="0"/>
              <w:autoSpaceDN w:val="0"/>
              <w:adjustRightInd w:val="0"/>
              <w:spacing w:after="0"/>
              <w:jc w:val="right"/>
              <w:rPr>
                <w:rFonts w:ascii="Calibri" w:eastAsiaTheme="minorEastAsia" w:hAnsi="Calibri" w:cs="Calibri"/>
                <w:b/>
                <w:color w:val="000000"/>
                <w:sz w:val="22"/>
                <w:lang w:eastAsia="en-AU"/>
              </w:rPr>
            </w:pPr>
            <w:r w:rsidRPr="000C4827">
              <w:rPr>
                <w:rFonts w:ascii="Calibri" w:eastAsiaTheme="minorEastAsia" w:hAnsi="Calibri" w:cs="Calibri"/>
                <w:b/>
                <w:color w:val="000000"/>
                <w:sz w:val="22"/>
                <w:lang w:eastAsia="en-AU"/>
              </w:rPr>
              <w:t>13 040</w:t>
            </w:r>
          </w:p>
        </w:tc>
        <w:tc>
          <w:tcPr>
            <w:tcW w:w="1134" w:type="dxa"/>
            <w:tcBorders>
              <w:top w:val="single" w:sz="6" w:space="0" w:color="auto"/>
              <w:left w:val="nil"/>
              <w:bottom w:val="single" w:sz="12" w:space="0" w:color="auto"/>
              <w:right w:val="nil"/>
            </w:tcBorders>
            <w:shd w:val="clear" w:color="auto" w:fill="FFFFFF"/>
          </w:tcPr>
          <w:p w:rsidR="009A3756" w:rsidRPr="000C4827" w:rsidRDefault="009A3756" w:rsidP="00166C5A">
            <w:pPr>
              <w:autoSpaceDE w:val="0"/>
              <w:autoSpaceDN w:val="0"/>
              <w:adjustRightInd w:val="0"/>
              <w:spacing w:after="0"/>
              <w:jc w:val="right"/>
              <w:rPr>
                <w:rFonts w:ascii="Calibri" w:eastAsiaTheme="minorEastAsia" w:hAnsi="Calibri" w:cs="Calibri"/>
                <w:b/>
                <w:color w:val="000000"/>
                <w:sz w:val="22"/>
                <w:lang w:eastAsia="en-AU"/>
              </w:rPr>
            </w:pPr>
            <w:r w:rsidRPr="000C4827">
              <w:rPr>
                <w:rFonts w:ascii="Calibri" w:eastAsiaTheme="minorEastAsia" w:hAnsi="Calibri" w:cs="Calibri"/>
                <w:b/>
                <w:color w:val="000000"/>
                <w:sz w:val="22"/>
                <w:lang w:eastAsia="en-AU"/>
              </w:rPr>
              <w:t>54 310</w:t>
            </w:r>
          </w:p>
        </w:tc>
      </w:tr>
      <w:tr w:rsidR="009A3756" w:rsidRPr="00166C5A" w:rsidTr="009A3756">
        <w:trPr>
          <w:cantSplit/>
        </w:trPr>
        <w:tc>
          <w:tcPr>
            <w:tcW w:w="9638" w:type="dxa"/>
            <w:gridSpan w:val="4"/>
            <w:tcBorders>
              <w:top w:val="single" w:sz="12" w:space="0" w:color="auto"/>
              <w:left w:val="nil"/>
              <w:bottom w:val="nil"/>
              <w:right w:val="nil"/>
            </w:tcBorders>
            <w:shd w:val="clear" w:color="auto" w:fill="auto"/>
          </w:tcPr>
          <w:p w:rsidR="009A3756" w:rsidRPr="00166C5A" w:rsidRDefault="009A3756" w:rsidP="00166C5A">
            <w:pPr>
              <w:pStyle w:val="Notes"/>
              <w:rPr>
                <w:rFonts w:eastAsiaTheme="minorEastAsia"/>
                <w:lang w:eastAsia="en-AU"/>
              </w:rPr>
            </w:pPr>
            <w:r w:rsidRPr="00166C5A">
              <w:rPr>
                <w:rFonts w:eastAsiaTheme="minorEastAsia"/>
                <w:lang w:eastAsia="en-AU"/>
              </w:rPr>
              <w:t>Note</w:t>
            </w:r>
            <w:r>
              <w:rPr>
                <w:rFonts w:eastAsiaTheme="minorEastAsia"/>
                <w:lang w:eastAsia="en-AU"/>
              </w:rPr>
              <w:t>s</w:t>
            </w:r>
            <w:r w:rsidRPr="00166C5A">
              <w:rPr>
                <w:rFonts w:eastAsiaTheme="minorEastAsia"/>
                <w:lang w:eastAsia="en-AU"/>
              </w:rPr>
              <w:t>:</w:t>
            </w:r>
          </w:p>
        </w:tc>
      </w:tr>
      <w:tr w:rsidR="009A3756" w:rsidRPr="00166C5A" w:rsidTr="009A3756">
        <w:trPr>
          <w:cantSplit/>
        </w:trPr>
        <w:tc>
          <w:tcPr>
            <w:tcW w:w="9638" w:type="dxa"/>
            <w:gridSpan w:val="4"/>
            <w:tcBorders>
              <w:top w:val="nil"/>
              <w:left w:val="nil"/>
              <w:bottom w:val="nil"/>
              <w:right w:val="nil"/>
            </w:tcBorders>
          </w:tcPr>
          <w:p w:rsidR="009A3756" w:rsidRDefault="009A3756" w:rsidP="00761476">
            <w:pPr>
              <w:pStyle w:val="Notes"/>
              <w:rPr>
                <w:rFonts w:eastAsiaTheme="minorEastAsia"/>
                <w:lang w:eastAsia="en-AU"/>
              </w:rPr>
            </w:pPr>
            <w:r>
              <w:rPr>
                <w:rFonts w:eastAsiaTheme="minorEastAsia"/>
                <w:lang w:eastAsia="en-AU"/>
              </w:rPr>
              <w:t>(a)</w:t>
            </w:r>
            <w:r>
              <w:rPr>
                <w:rFonts w:eastAsiaTheme="minorEastAsia"/>
                <w:lang w:eastAsia="en-AU"/>
              </w:rPr>
              <w:tab/>
            </w:r>
            <w:r w:rsidRPr="00F54D2D">
              <w:rPr>
                <w:rFonts w:eastAsiaTheme="minorEastAsia"/>
                <w:lang w:eastAsia="en-AU"/>
              </w:rPr>
              <w:t>September 2014-15 comparative figures have been restated to reflect more current information</w:t>
            </w:r>
            <w:r>
              <w:rPr>
                <w:rFonts w:eastAsiaTheme="minorEastAsia"/>
                <w:lang w:eastAsia="en-AU"/>
              </w:rPr>
              <w:t>.</w:t>
            </w:r>
          </w:p>
          <w:p w:rsidR="009A3756" w:rsidRPr="00166C5A" w:rsidRDefault="009A3756" w:rsidP="00DB2687">
            <w:pPr>
              <w:pStyle w:val="Notes"/>
              <w:rPr>
                <w:rFonts w:eastAsiaTheme="minorEastAsia"/>
                <w:lang w:eastAsia="en-AU"/>
              </w:rPr>
            </w:pPr>
            <w:r>
              <w:rPr>
                <w:rFonts w:eastAsiaTheme="minorEastAsia"/>
                <w:lang w:eastAsia="en-AU"/>
              </w:rPr>
              <w:t>(b)</w:t>
            </w:r>
            <w:r>
              <w:rPr>
                <w:rFonts w:eastAsiaTheme="minorEastAsia"/>
                <w:lang w:eastAsia="en-AU"/>
              </w:rPr>
              <w:tab/>
            </w:r>
            <w:r>
              <w:rPr>
                <w:rFonts w:eastAsiaTheme="minorEastAsia"/>
                <w:i w:val="0"/>
                <w:lang w:eastAsia="en-AU"/>
              </w:rPr>
              <w:t xml:space="preserve">2015-16 Budget </w:t>
            </w:r>
            <w:r>
              <w:rPr>
                <w:rFonts w:eastAsiaTheme="minorEastAsia"/>
                <w:lang w:eastAsia="en-AU"/>
              </w:rPr>
              <w:t>figures have been reclassified.</w:t>
            </w:r>
          </w:p>
        </w:tc>
      </w:tr>
    </w:tbl>
    <w:p w:rsidR="00A8700E" w:rsidRDefault="00A8700E" w:rsidP="00430D4B">
      <w:pPr>
        <w:pStyle w:val="Heading2NotesQtrly"/>
      </w:pPr>
    </w:p>
    <w:p w:rsidR="00E1277E" w:rsidRDefault="00E1277E">
      <w:pPr>
        <w:spacing w:after="0"/>
        <w:rPr>
          <w:rFonts w:ascii="Calibri" w:hAnsi="Calibri"/>
          <w:b/>
          <w:kern w:val="28"/>
          <w:sz w:val="28"/>
          <w:szCs w:val="22"/>
        </w:rPr>
      </w:pPr>
      <w:r>
        <w:br w:type="page"/>
      </w:r>
    </w:p>
    <w:p w:rsidR="00166C5A" w:rsidRDefault="00E1277E" w:rsidP="00494B5B">
      <w:pPr>
        <w:pStyle w:val="Heading2NotesContd"/>
        <w:rPr>
          <w:rFonts w:ascii="Times New Roman" w:hAnsi="Times New Roman"/>
          <w:sz w:val="20"/>
          <w:lang w:eastAsia="en-AU"/>
        </w:rPr>
      </w:pPr>
      <w:r w:rsidRPr="00E1277E">
        <w:lastRenderedPageBreak/>
        <w:t>Note 9:</w:t>
      </w:r>
      <w:r w:rsidRPr="00E1277E">
        <w:tab/>
        <w:t>Expenses by government purpose and by department</w:t>
      </w:r>
      <w:r>
        <w:t xml:space="preserve"> </w:t>
      </w:r>
      <w:r w:rsidRPr="00E1277E">
        <w:rPr>
          <w:i/>
        </w:rPr>
        <w:t>(continued)</w:t>
      </w:r>
    </w:p>
    <w:p w:rsidR="009A3756" w:rsidRDefault="009A3756" w:rsidP="009A3756">
      <w:pPr>
        <w:pStyle w:val="Tableheading"/>
      </w:pPr>
      <w:r w:rsidRPr="009A3756">
        <w:t>(b)</w:t>
      </w:r>
      <w:r w:rsidRPr="009A3756">
        <w:tab/>
        <w:t>Tota</w:t>
      </w:r>
      <w:r>
        <w:t>l expenses by department</w:t>
      </w:r>
      <w:r w:rsidRPr="009A3756">
        <w:rPr>
          <w:vertAlign w:val="superscript"/>
        </w:rPr>
        <w:t>(a)</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9A3756" w:rsidRPr="00166C5A" w:rsidTr="009A3756">
        <w:trPr>
          <w:cantSplit/>
          <w:tblHeader/>
        </w:trPr>
        <w:tc>
          <w:tcPr>
            <w:tcW w:w="9638" w:type="dxa"/>
            <w:gridSpan w:val="4"/>
            <w:tcBorders>
              <w:top w:val="nil"/>
              <w:left w:val="nil"/>
              <w:bottom w:val="nil"/>
              <w:right w:val="nil"/>
            </w:tcBorders>
          </w:tcPr>
          <w:p w:rsidR="009A3756" w:rsidRPr="00166C5A" w:rsidRDefault="009A3756" w:rsidP="00166C5A">
            <w:pPr>
              <w:pStyle w:val="million"/>
              <w:rPr>
                <w:rFonts w:eastAsiaTheme="minorEastAsia"/>
                <w:lang w:eastAsia="en-AU"/>
              </w:rPr>
            </w:pPr>
            <w:r w:rsidRPr="00166C5A">
              <w:rPr>
                <w:rFonts w:eastAsiaTheme="minorEastAsia"/>
                <w:lang w:eastAsia="en-AU"/>
              </w:rPr>
              <w:t>($ million)</w:t>
            </w:r>
          </w:p>
        </w:tc>
      </w:tr>
      <w:tr w:rsidR="00DB2687" w:rsidRPr="00166C5A" w:rsidTr="00855B15">
        <w:trPr>
          <w:cantSplit/>
          <w:tblHeader/>
        </w:trPr>
        <w:tc>
          <w:tcPr>
            <w:tcW w:w="1134" w:type="dxa"/>
            <w:tcBorders>
              <w:top w:val="nil"/>
              <w:left w:val="nil"/>
              <w:bottom w:val="nil"/>
              <w:right w:val="nil"/>
            </w:tcBorders>
            <w:shd w:val="solid" w:color="000000" w:fill="auto"/>
          </w:tcPr>
          <w:p w:rsidR="00DB2687" w:rsidRPr="00166C5A" w:rsidRDefault="00DB2687" w:rsidP="00D07FED">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2014-15</w:t>
            </w:r>
          </w:p>
        </w:tc>
        <w:tc>
          <w:tcPr>
            <w:tcW w:w="6236" w:type="dxa"/>
            <w:tcBorders>
              <w:top w:val="nil"/>
              <w:left w:val="nil"/>
              <w:bottom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 </w:t>
            </w:r>
          </w:p>
        </w:tc>
        <w:tc>
          <w:tcPr>
            <w:tcW w:w="2268" w:type="dxa"/>
            <w:gridSpan w:val="2"/>
            <w:tcBorders>
              <w:top w:val="nil"/>
              <w:left w:val="nil"/>
              <w:bottom w:val="nil"/>
              <w:right w:val="nil"/>
            </w:tcBorders>
            <w:shd w:val="solid" w:color="000000" w:fill="auto"/>
          </w:tcPr>
          <w:p w:rsidR="00DB2687" w:rsidRPr="00166C5A" w:rsidRDefault="00DB2687" w:rsidP="00D07FED">
            <w:pPr>
              <w:autoSpaceDE w:val="0"/>
              <w:autoSpaceDN w:val="0"/>
              <w:adjustRightInd w:val="0"/>
              <w:spacing w:after="0"/>
              <w:jc w:val="center"/>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2015-16</w:t>
            </w:r>
          </w:p>
        </w:tc>
      </w:tr>
      <w:tr w:rsidR="00DB2687" w:rsidRPr="00166C5A" w:rsidTr="001A36A8">
        <w:trPr>
          <w:cantSplit/>
          <w:trHeight w:val="537"/>
          <w:tblHeader/>
        </w:trPr>
        <w:tc>
          <w:tcPr>
            <w:tcW w:w="1134" w:type="dxa"/>
            <w:tcBorders>
              <w:top w:val="nil"/>
              <w:left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Actual </w:t>
            </w:r>
          </w:p>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Pr>
                <w:rFonts w:ascii="Calibri" w:eastAsiaTheme="minorEastAsia" w:hAnsi="Calibri" w:cs="Calibri"/>
                <w:i/>
                <w:iCs/>
                <w:color w:val="FFFFFF"/>
                <w:sz w:val="22"/>
                <w:lang w:eastAsia="en-AU"/>
              </w:rPr>
              <w:t>to Sep</w:t>
            </w:r>
            <w:r w:rsidRPr="00166C5A">
              <w:rPr>
                <w:rFonts w:ascii="Calibri" w:eastAsiaTheme="minorEastAsia" w:hAnsi="Calibri" w:cs="Calibri"/>
                <w:i/>
                <w:iCs/>
                <w:color w:val="FFFFFF"/>
                <w:sz w:val="22"/>
                <w:vertAlign w:val="superscript"/>
                <w:lang w:eastAsia="en-AU"/>
              </w:rPr>
              <w:t>(b)</w:t>
            </w:r>
          </w:p>
        </w:tc>
        <w:tc>
          <w:tcPr>
            <w:tcW w:w="6236" w:type="dxa"/>
            <w:tcBorders>
              <w:top w:val="nil"/>
              <w:left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 </w:t>
            </w:r>
          </w:p>
          <w:p w:rsidR="00DB2687" w:rsidRPr="00166C5A" w:rsidRDefault="00DB2687" w:rsidP="00166C5A">
            <w:pPr>
              <w:autoSpaceDE w:val="0"/>
              <w:autoSpaceDN w:val="0"/>
              <w:adjustRightInd w:val="0"/>
              <w:spacing w:after="0"/>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 </w:t>
            </w:r>
          </w:p>
        </w:tc>
        <w:tc>
          <w:tcPr>
            <w:tcW w:w="1134" w:type="dxa"/>
            <w:tcBorders>
              <w:top w:val="nil"/>
              <w:left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Actual </w:t>
            </w:r>
          </w:p>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to Sep</w:t>
            </w:r>
          </w:p>
        </w:tc>
        <w:tc>
          <w:tcPr>
            <w:tcW w:w="1134" w:type="dxa"/>
            <w:tcBorders>
              <w:top w:val="nil"/>
              <w:left w:val="nil"/>
              <w:right w:val="nil"/>
            </w:tcBorders>
            <w:shd w:val="solid" w:color="000000" w:fill="auto"/>
          </w:tcPr>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Annual </w:t>
            </w:r>
          </w:p>
          <w:p w:rsidR="00DB2687" w:rsidRPr="00166C5A" w:rsidRDefault="00DB2687" w:rsidP="00166C5A">
            <w:pPr>
              <w:autoSpaceDE w:val="0"/>
              <w:autoSpaceDN w:val="0"/>
              <w:adjustRightInd w:val="0"/>
              <w:spacing w:after="0"/>
              <w:jc w:val="right"/>
              <w:rPr>
                <w:rFonts w:ascii="Calibri" w:eastAsiaTheme="minorEastAsia" w:hAnsi="Calibri" w:cs="Calibri"/>
                <w:i/>
                <w:iCs/>
                <w:color w:val="FFFFFF"/>
                <w:sz w:val="22"/>
                <w:lang w:eastAsia="en-AU"/>
              </w:rPr>
            </w:pPr>
            <w:r w:rsidRPr="00166C5A">
              <w:rPr>
                <w:rFonts w:ascii="Calibri" w:eastAsiaTheme="minorEastAsia" w:hAnsi="Calibri" w:cs="Calibri"/>
                <w:i/>
                <w:iCs/>
                <w:color w:val="FFFFFF"/>
                <w:sz w:val="22"/>
                <w:lang w:eastAsia="en-AU"/>
              </w:rPr>
              <w:t xml:space="preserve">budget </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Expenses from transactions</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341</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Economic Development, Jobs, Transport and Resources</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2 034</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8 088</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3 564</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Education and Training</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3 802</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15 550</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486</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Environment, Land, Water and Planning </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634</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2 946</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3 924</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Health and Human Services</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5 129</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21 362</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929</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Human Services</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1 337</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Justice and Regulation</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1 380</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5 596</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179</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Premier and Cabinet</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85</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433</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1 673</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Transport, Planning and Local Infrastructure</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1 530</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Treasury and Finance </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1 629</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6 654</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43</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Parliament</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43</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187</w:t>
            </w:r>
          </w:p>
        </w:tc>
      </w:tr>
      <w:tr w:rsidR="009A3756" w:rsidRPr="00166C5A" w:rsidTr="009A3756">
        <w:trPr>
          <w:cantSplit/>
        </w:trPr>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117</w:t>
            </w:r>
          </w:p>
        </w:tc>
        <w:tc>
          <w:tcPr>
            <w:tcW w:w="6236" w:type="dxa"/>
            <w:tcBorders>
              <w:top w:val="nil"/>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Courts</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122</w:t>
            </w:r>
          </w:p>
        </w:tc>
        <w:tc>
          <w:tcPr>
            <w:tcW w:w="1134" w:type="dxa"/>
            <w:tcBorders>
              <w:top w:val="nil"/>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528</w:t>
            </w:r>
          </w:p>
        </w:tc>
      </w:tr>
      <w:tr w:rsidR="009A3756" w:rsidRPr="00166C5A" w:rsidTr="009A3756">
        <w:trPr>
          <w:cantSplit/>
        </w:trPr>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464</w:t>
            </w:r>
          </w:p>
        </w:tc>
        <w:tc>
          <w:tcPr>
            <w:tcW w:w="6236"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Regulatory bodies and other part funded agencies </w:t>
            </w:r>
          </w:p>
        </w:tc>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 xml:space="preserve"> 481</w:t>
            </w:r>
          </w:p>
        </w:tc>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1 928</w:t>
            </w:r>
          </w:p>
        </w:tc>
      </w:tr>
      <w:tr w:rsidR="009A3756" w:rsidRPr="00166C5A" w:rsidTr="009A3756">
        <w:trPr>
          <w:cantSplit/>
        </w:trPr>
        <w:tc>
          <w:tcPr>
            <w:tcW w:w="1134" w:type="dxa"/>
            <w:tcBorders>
              <w:top w:val="single" w:sz="6" w:space="0" w:color="auto"/>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14 586</w:t>
            </w:r>
          </w:p>
        </w:tc>
        <w:tc>
          <w:tcPr>
            <w:tcW w:w="6236" w:type="dxa"/>
            <w:tcBorders>
              <w:top w:val="single" w:sz="6" w:space="0" w:color="auto"/>
              <w:left w:val="nil"/>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 xml:space="preserve">Total expenses by department </w:t>
            </w:r>
          </w:p>
        </w:tc>
        <w:tc>
          <w:tcPr>
            <w:tcW w:w="1134" w:type="dxa"/>
            <w:tcBorders>
              <w:top w:val="single" w:sz="6" w:space="0" w:color="auto"/>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15 339</w:t>
            </w:r>
          </w:p>
        </w:tc>
        <w:tc>
          <w:tcPr>
            <w:tcW w:w="1134" w:type="dxa"/>
            <w:tcBorders>
              <w:top w:val="single" w:sz="6" w:space="0" w:color="auto"/>
              <w:left w:val="nil"/>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63 272</w:t>
            </w:r>
          </w:p>
        </w:tc>
      </w:tr>
      <w:tr w:rsidR="009A3756" w:rsidRPr="00166C5A" w:rsidTr="009A3756">
        <w:trPr>
          <w:cantSplit/>
        </w:trPr>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(2 148)</w:t>
            </w:r>
          </w:p>
        </w:tc>
        <w:tc>
          <w:tcPr>
            <w:tcW w:w="6236"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i/>
                <w:iCs/>
                <w:color w:val="000000"/>
                <w:sz w:val="22"/>
                <w:vertAlign w:val="superscript"/>
                <w:lang w:eastAsia="en-AU"/>
              </w:rPr>
            </w:pPr>
            <w:r w:rsidRPr="00166C5A">
              <w:rPr>
                <w:rFonts w:ascii="Calibri" w:eastAsiaTheme="minorEastAsia" w:hAnsi="Calibri" w:cs="Calibri"/>
                <w:i/>
                <w:iCs/>
                <w:color w:val="000000"/>
                <w:sz w:val="22"/>
                <w:lang w:eastAsia="en-AU"/>
              </w:rPr>
              <w:t>Less eliminations and adjustments</w:t>
            </w:r>
            <w:r w:rsidRPr="00166C5A">
              <w:rPr>
                <w:rFonts w:ascii="Calibri" w:eastAsiaTheme="minorEastAsia" w:hAnsi="Calibri" w:cs="Calibri"/>
                <w:i/>
                <w:iCs/>
                <w:color w:val="000000"/>
                <w:sz w:val="22"/>
                <w:vertAlign w:val="superscript"/>
                <w:lang w:eastAsia="en-AU"/>
              </w:rPr>
              <w:t>(c)</w:t>
            </w:r>
          </w:p>
        </w:tc>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(2 299)</w:t>
            </w:r>
          </w:p>
        </w:tc>
        <w:tc>
          <w:tcPr>
            <w:tcW w:w="1134" w:type="dxa"/>
            <w:tcBorders>
              <w:top w:val="nil"/>
              <w:left w:val="nil"/>
              <w:bottom w:val="single" w:sz="6"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color w:val="000000"/>
                <w:sz w:val="22"/>
                <w:lang w:eastAsia="en-AU"/>
              </w:rPr>
            </w:pPr>
            <w:r w:rsidRPr="00166C5A">
              <w:rPr>
                <w:rFonts w:ascii="Calibri" w:eastAsiaTheme="minorEastAsia" w:hAnsi="Calibri" w:cs="Calibri"/>
                <w:color w:val="000000"/>
                <w:sz w:val="22"/>
                <w:lang w:eastAsia="en-AU"/>
              </w:rPr>
              <w:t>(8 962)</w:t>
            </w:r>
          </w:p>
        </w:tc>
      </w:tr>
      <w:tr w:rsidR="009A3756" w:rsidRPr="00166C5A" w:rsidTr="009A3756">
        <w:trPr>
          <w:cantSplit/>
        </w:trPr>
        <w:tc>
          <w:tcPr>
            <w:tcW w:w="1134" w:type="dxa"/>
            <w:tcBorders>
              <w:top w:val="single" w:sz="6" w:space="0" w:color="auto"/>
              <w:left w:val="nil"/>
              <w:bottom w:val="single" w:sz="12"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12 438</w:t>
            </w:r>
          </w:p>
        </w:tc>
        <w:tc>
          <w:tcPr>
            <w:tcW w:w="6236" w:type="dxa"/>
            <w:tcBorders>
              <w:top w:val="single" w:sz="6" w:space="0" w:color="auto"/>
              <w:left w:val="nil"/>
              <w:bottom w:val="single" w:sz="12" w:space="0" w:color="auto"/>
              <w:right w:val="nil"/>
            </w:tcBorders>
            <w:shd w:val="clear" w:color="auto" w:fill="FFFFFF"/>
          </w:tcPr>
          <w:p w:rsidR="009A3756" w:rsidRPr="00166C5A" w:rsidRDefault="009A3756" w:rsidP="00166C5A">
            <w:pPr>
              <w:autoSpaceDE w:val="0"/>
              <w:autoSpaceDN w:val="0"/>
              <w:adjustRightInd w:val="0"/>
              <w:spacing w:after="0"/>
              <w:ind w:left="340" w:hanging="227"/>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Total expenses from transactions</w:t>
            </w:r>
          </w:p>
        </w:tc>
        <w:tc>
          <w:tcPr>
            <w:tcW w:w="1134" w:type="dxa"/>
            <w:tcBorders>
              <w:top w:val="single" w:sz="6" w:space="0" w:color="auto"/>
              <w:left w:val="nil"/>
              <w:bottom w:val="single" w:sz="12"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13 040</w:t>
            </w:r>
          </w:p>
        </w:tc>
        <w:tc>
          <w:tcPr>
            <w:tcW w:w="1134" w:type="dxa"/>
            <w:tcBorders>
              <w:top w:val="single" w:sz="6" w:space="0" w:color="auto"/>
              <w:left w:val="nil"/>
              <w:bottom w:val="single" w:sz="12" w:space="0" w:color="auto"/>
              <w:right w:val="nil"/>
            </w:tcBorders>
            <w:shd w:val="clear" w:color="auto" w:fill="FFFFFF"/>
          </w:tcPr>
          <w:p w:rsidR="009A3756" w:rsidRPr="00166C5A" w:rsidRDefault="009A3756" w:rsidP="00166C5A">
            <w:pPr>
              <w:autoSpaceDE w:val="0"/>
              <w:autoSpaceDN w:val="0"/>
              <w:adjustRightInd w:val="0"/>
              <w:spacing w:after="0"/>
              <w:jc w:val="right"/>
              <w:rPr>
                <w:rFonts w:ascii="Calibri" w:eastAsiaTheme="minorEastAsia" w:hAnsi="Calibri" w:cs="Calibri"/>
                <w:b/>
                <w:bCs/>
                <w:color w:val="000000"/>
                <w:sz w:val="22"/>
                <w:lang w:eastAsia="en-AU"/>
              </w:rPr>
            </w:pPr>
            <w:r w:rsidRPr="00166C5A">
              <w:rPr>
                <w:rFonts w:ascii="Calibri" w:eastAsiaTheme="minorEastAsia" w:hAnsi="Calibri" w:cs="Calibri"/>
                <w:b/>
                <w:bCs/>
                <w:color w:val="000000"/>
                <w:sz w:val="22"/>
                <w:lang w:eastAsia="en-AU"/>
              </w:rPr>
              <w:t>54 310</w:t>
            </w:r>
          </w:p>
        </w:tc>
      </w:tr>
      <w:tr w:rsidR="009A3756" w:rsidRPr="00166C5A" w:rsidTr="009A3756">
        <w:trPr>
          <w:cantSplit/>
        </w:trPr>
        <w:tc>
          <w:tcPr>
            <w:tcW w:w="9638" w:type="dxa"/>
            <w:gridSpan w:val="4"/>
            <w:tcBorders>
              <w:top w:val="single" w:sz="12" w:space="0" w:color="auto"/>
              <w:left w:val="nil"/>
              <w:bottom w:val="nil"/>
              <w:right w:val="nil"/>
            </w:tcBorders>
            <w:shd w:val="clear" w:color="auto" w:fill="auto"/>
          </w:tcPr>
          <w:p w:rsidR="009A3756" w:rsidRPr="00166C5A" w:rsidRDefault="009A3756" w:rsidP="00166C5A">
            <w:pPr>
              <w:pStyle w:val="Notes"/>
              <w:rPr>
                <w:rFonts w:eastAsiaTheme="minorEastAsia"/>
                <w:lang w:eastAsia="en-AU"/>
              </w:rPr>
            </w:pPr>
            <w:r w:rsidRPr="00166C5A">
              <w:rPr>
                <w:rFonts w:eastAsiaTheme="minorEastAsia"/>
                <w:lang w:eastAsia="en-AU"/>
              </w:rPr>
              <w:t>Notes:</w:t>
            </w:r>
          </w:p>
        </w:tc>
      </w:tr>
      <w:tr w:rsidR="009A3756" w:rsidRPr="00166C5A" w:rsidTr="009A3756">
        <w:trPr>
          <w:cantSplit/>
        </w:trPr>
        <w:tc>
          <w:tcPr>
            <w:tcW w:w="9638" w:type="dxa"/>
            <w:gridSpan w:val="4"/>
            <w:tcBorders>
              <w:top w:val="nil"/>
              <w:left w:val="nil"/>
              <w:bottom w:val="nil"/>
              <w:right w:val="nil"/>
            </w:tcBorders>
          </w:tcPr>
          <w:p w:rsidR="009A3756" w:rsidRDefault="009A3756" w:rsidP="00166C5A">
            <w:pPr>
              <w:pStyle w:val="Notes"/>
              <w:rPr>
                <w:rFonts w:eastAsiaTheme="minorEastAsia"/>
                <w:lang w:eastAsia="en-AU"/>
              </w:rPr>
            </w:pPr>
            <w:r>
              <w:rPr>
                <w:rFonts w:eastAsiaTheme="minorEastAsia"/>
                <w:lang w:eastAsia="en-AU"/>
              </w:rPr>
              <w:t>(a)</w:t>
            </w:r>
            <w:r>
              <w:rPr>
                <w:rFonts w:eastAsiaTheme="minorEastAsia"/>
                <w:lang w:eastAsia="en-AU"/>
              </w:rPr>
              <w:tab/>
              <w:t>Effective 1 January 2015 several departments were renamed due to machinery of government changes:</w:t>
            </w:r>
          </w:p>
          <w:p w:rsidR="009A3756" w:rsidRDefault="009A3756" w:rsidP="002421E4">
            <w:pPr>
              <w:pStyle w:val="NotesDash"/>
            </w:pPr>
            <w:r>
              <w:t>the Department of Education and Early Childhood Development was renamed the Department of Education and Training;</w:t>
            </w:r>
          </w:p>
          <w:p w:rsidR="009A3756" w:rsidRDefault="009A3756" w:rsidP="002421E4">
            <w:pPr>
              <w:pStyle w:val="NotesDash"/>
            </w:pPr>
            <w:r>
              <w:t>the Department of Environment and Primary Industries was renamed the Department of Environment, Land, Water and Planning;</w:t>
            </w:r>
          </w:p>
          <w:p w:rsidR="009A3756" w:rsidRDefault="009A3756" w:rsidP="002421E4">
            <w:pPr>
              <w:pStyle w:val="NotesDash"/>
            </w:pPr>
            <w:r>
              <w:t>the Department of Health was renamed the Department of Health and Human Services;</w:t>
            </w:r>
          </w:p>
          <w:p w:rsidR="009A3756" w:rsidRDefault="009A3756" w:rsidP="002421E4">
            <w:pPr>
              <w:pStyle w:val="NotesDash"/>
            </w:pPr>
            <w:r>
              <w:t xml:space="preserve">the Department of Justice was renamed the Department of Justice and Regulation; </w:t>
            </w:r>
          </w:p>
          <w:p w:rsidR="009A3756" w:rsidRDefault="009A3756" w:rsidP="002421E4">
            <w:pPr>
              <w:pStyle w:val="NotesDash"/>
            </w:pPr>
            <w:r>
              <w:t xml:space="preserve">the Department of State Development, Business and Innovation was renamed the Department of Economic Development, Jobs, Transport and Resources; </w:t>
            </w:r>
          </w:p>
          <w:p w:rsidR="009A3756" w:rsidRDefault="009A3756" w:rsidP="002421E4">
            <w:pPr>
              <w:pStyle w:val="NotesDash"/>
            </w:pPr>
            <w:r>
              <w:t xml:space="preserve">the Department of Human Services was abolished; and </w:t>
            </w:r>
          </w:p>
          <w:p w:rsidR="009A3756" w:rsidRDefault="009A3756" w:rsidP="002421E4">
            <w:pPr>
              <w:pStyle w:val="NotesDash"/>
            </w:pPr>
            <w:r>
              <w:t xml:space="preserve">the Department of Transport, Planning and Local Infrastructure was abolished. </w:t>
            </w:r>
          </w:p>
          <w:p w:rsidR="009A3756" w:rsidRPr="00166C5A" w:rsidRDefault="009A3756" w:rsidP="00D07FED">
            <w:pPr>
              <w:pStyle w:val="Notes"/>
              <w:rPr>
                <w:rFonts w:eastAsiaTheme="minorEastAsia"/>
                <w:lang w:eastAsia="en-AU"/>
              </w:rPr>
            </w:pPr>
            <w:r>
              <w:rPr>
                <w:rFonts w:eastAsiaTheme="minorEastAsia"/>
                <w:lang w:eastAsia="en-AU"/>
              </w:rPr>
              <w:tab/>
              <w:t xml:space="preserve">The two </w:t>
            </w:r>
            <w:r w:rsidRPr="00D07FED">
              <w:rPr>
                <w:rFonts w:eastAsiaTheme="minorEastAsia"/>
              </w:rPr>
              <w:t>abolished</w:t>
            </w:r>
            <w:r>
              <w:rPr>
                <w:rFonts w:eastAsiaTheme="minorEastAsia"/>
                <w:lang w:eastAsia="en-AU"/>
              </w:rPr>
              <w:t xml:space="preserve"> departments had their functions and operations transferred to other Victorian government departments. Functions and operations of the Department of Human Services were transferred to the Department of Health and Human Services and to the Department of Premier and Cabinet. Functions and operations of the Department of Transport, Planning and Local Infrastructure were transferred to the Department of Environment, Land, Water and Planning, the Department of Health and Humans Services and to the Department of Economic Development, Jobs, Transport and Resources. Certain functions and operations of continuing Victorian government departments were also transferred amongst departments as part of the machinery of government changes. Controlled entities which have been transferred as part of the machinery of government changes are listed under their new portfolio departments.</w:t>
            </w:r>
          </w:p>
        </w:tc>
      </w:tr>
      <w:tr w:rsidR="009A3756" w:rsidRPr="00166C5A" w:rsidTr="009A3756">
        <w:trPr>
          <w:cantSplit/>
        </w:trPr>
        <w:tc>
          <w:tcPr>
            <w:tcW w:w="9638" w:type="dxa"/>
            <w:gridSpan w:val="4"/>
            <w:tcBorders>
              <w:top w:val="nil"/>
              <w:left w:val="nil"/>
              <w:bottom w:val="nil"/>
              <w:right w:val="nil"/>
            </w:tcBorders>
          </w:tcPr>
          <w:p w:rsidR="009A3756" w:rsidRPr="00166C5A" w:rsidRDefault="009A3756" w:rsidP="00166C5A">
            <w:pPr>
              <w:pStyle w:val="Notes"/>
              <w:rPr>
                <w:rFonts w:eastAsiaTheme="minorEastAsia"/>
                <w:lang w:eastAsia="en-AU"/>
              </w:rPr>
            </w:pPr>
            <w:r>
              <w:rPr>
                <w:rFonts w:eastAsiaTheme="minorEastAsia"/>
                <w:lang w:eastAsia="en-AU"/>
              </w:rPr>
              <w:t>(b)</w:t>
            </w:r>
            <w:r>
              <w:rPr>
                <w:rFonts w:eastAsiaTheme="minorEastAsia"/>
                <w:lang w:eastAsia="en-AU"/>
              </w:rPr>
              <w:tab/>
            </w:r>
            <w:r w:rsidRPr="00F54D2D">
              <w:rPr>
                <w:rFonts w:eastAsiaTheme="minorEastAsia"/>
                <w:lang w:eastAsia="en-AU"/>
              </w:rPr>
              <w:t>September 2014-15 comparative figures have been restated to reflect more current information</w:t>
            </w:r>
          </w:p>
        </w:tc>
      </w:tr>
      <w:tr w:rsidR="009A3756" w:rsidRPr="00166C5A" w:rsidTr="009A3756">
        <w:trPr>
          <w:cantSplit/>
        </w:trPr>
        <w:tc>
          <w:tcPr>
            <w:tcW w:w="9638" w:type="dxa"/>
            <w:gridSpan w:val="4"/>
            <w:tcBorders>
              <w:top w:val="nil"/>
              <w:left w:val="nil"/>
              <w:bottom w:val="nil"/>
              <w:right w:val="nil"/>
            </w:tcBorders>
          </w:tcPr>
          <w:p w:rsidR="009A3756" w:rsidRPr="00166C5A" w:rsidRDefault="009A3756" w:rsidP="00166C5A">
            <w:pPr>
              <w:pStyle w:val="Notes"/>
              <w:rPr>
                <w:rFonts w:eastAsiaTheme="minorEastAsia"/>
                <w:lang w:eastAsia="en-AU"/>
              </w:rPr>
            </w:pPr>
            <w:r>
              <w:rPr>
                <w:rFonts w:eastAsiaTheme="minorEastAsia"/>
                <w:lang w:eastAsia="en-AU"/>
              </w:rPr>
              <w:t>(c)</w:t>
            </w:r>
            <w:r>
              <w:rPr>
                <w:rFonts w:eastAsiaTheme="minorEastAsia"/>
                <w:lang w:eastAsia="en-AU"/>
              </w:rPr>
              <w:tab/>
              <w:t>The annual budget includes contingencies not allocated to departments.</w:t>
            </w:r>
          </w:p>
        </w:tc>
      </w:tr>
    </w:tbl>
    <w:p w:rsidR="00DF56BD" w:rsidRDefault="00DF56BD" w:rsidP="00DF56BD"/>
    <w:p w:rsidR="00FC1B31" w:rsidRDefault="00FC1B31" w:rsidP="00FC1B31">
      <w:pPr>
        <w:rPr>
          <w:rFonts w:ascii="Times New Roman" w:hAnsi="Times New Roman"/>
          <w:sz w:val="20"/>
          <w:lang w:eastAsia="en-AU"/>
        </w:rPr>
      </w:pPr>
    </w:p>
    <w:p w:rsidR="009A3756" w:rsidRDefault="009A3756">
      <w:pPr>
        <w:spacing w:after="0"/>
        <w:rPr>
          <w:rFonts w:ascii="Calibri" w:hAnsi="Calibri"/>
          <w:b/>
          <w:kern w:val="28"/>
          <w:sz w:val="28"/>
          <w:szCs w:val="22"/>
        </w:rPr>
      </w:pPr>
      <w:r>
        <w:br w:type="page"/>
      </w:r>
    </w:p>
    <w:p w:rsidR="009A3756" w:rsidRDefault="009A3756" w:rsidP="009A3756">
      <w:pPr>
        <w:pStyle w:val="Heading2NotesQtrly"/>
      </w:pPr>
      <w:bookmarkStart w:id="20" w:name="_Toc435107442"/>
      <w:r>
        <w:lastRenderedPageBreak/>
        <w:t>Note 10:</w:t>
      </w:r>
      <w:r>
        <w:tab/>
        <w:t>Other gains/(losses) from other economic flows</w:t>
      </w:r>
      <w:bookmarkEnd w:id="20"/>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9A3756" w:rsidRPr="00FC1B31" w:rsidTr="009A3756">
        <w:trPr>
          <w:cantSplit/>
          <w:tblHeader/>
        </w:trPr>
        <w:tc>
          <w:tcPr>
            <w:tcW w:w="9638" w:type="dxa"/>
            <w:gridSpan w:val="4"/>
            <w:tcBorders>
              <w:top w:val="nil"/>
              <w:left w:val="nil"/>
              <w:bottom w:val="nil"/>
              <w:right w:val="nil"/>
            </w:tcBorders>
          </w:tcPr>
          <w:p w:rsidR="009A3756" w:rsidRPr="00FC1B31" w:rsidRDefault="009A3756" w:rsidP="00FC1B31">
            <w:pPr>
              <w:pStyle w:val="million"/>
              <w:rPr>
                <w:rFonts w:eastAsiaTheme="minorEastAsia"/>
                <w:lang w:eastAsia="en-AU"/>
              </w:rPr>
            </w:pPr>
            <w:r w:rsidRPr="00FC1B31">
              <w:rPr>
                <w:rFonts w:eastAsiaTheme="minorEastAsia"/>
                <w:lang w:eastAsia="en-AU"/>
              </w:rPr>
              <w:t>($ million)</w:t>
            </w:r>
          </w:p>
        </w:tc>
      </w:tr>
      <w:tr w:rsidR="00DB2687" w:rsidRPr="00FC1B31" w:rsidTr="00E502F6">
        <w:trPr>
          <w:cantSplit/>
          <w:tblHeader/>
        </w:trPr>
        <w:tc>
          <w:tcPr>
            <w:tcW w:w="1134" w:type="dxa"/>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2014-15 </w:t>
            </w:r>
          </w:p>
        </w:tc>
        <w:tc>
          <w:tcPr>
            <w:tcW w:w="6236" w:type="dxa"/>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2268" w:type="dxa"/>
            <w:gridSpan w:val="2"/>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center"/>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2015-16</w:t>
            </w:r>
          </w:p>
        </w:tc>
      </w:tr>
      <w:tr w:rsidR="00DB2687" w:rsidRPr="00FC1B31" w:rsidTr="00BA6D58">
        <w:trPr>
          <w:cantSplit/>
          <w:trHeight w:val="537"/>
          <w:tblHeader/>
        </w:trPr>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Actual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Actual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Annual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budget</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(82)</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Net (increase)/decrease in provision for doubtful receivables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(88)</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(181)</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Amortisation of intangible non-produced assets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w:t>
            </w:r>
          </w:p>
        </w:tc>
        <w:tc>
          <w:tcPr>
            <w:tcW w:w="6236"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Bad debts written off</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(153)</w:t>
            </w:r>
          </w:p>
        </w:tc>
      </w:tr>
      <w:tr w:rsidR="009A3756" w:rsidRPr="00FC1B31" w:rsidTr="009A3756">
        <w:trPr>
          <w:cantSplit/>
        </w:trPr>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w:t>
            </w:r>
          </w:p>
        </w:tc>
        <w:tc>
          <w:tcPr>
            <w:tcW w:w="6236"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Other gains/(losses)</w:t>
            </w:r>
          </w:p>
        </w:tc>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(29)</w:t>
            </w:r>
          </w:p>
        </w:tc>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16</w:t>
            </w:r>
          </w:p>
        </w:tc>
      </w:tr>
      <w:tr w:rsidR="009A3756" w:rsidRPr="00FC1B31"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(90)</w:t>
            </w:r>
          </w:p>
        </w:tc>
        <w:tc>
          <w:tcPr>
            <w:tcW w:w="6236" w:type="dxa"/>
            <w:tcBorders>
              <w:top w:val="single" w:sz="6" w:space="0" w:color="000000"/>
              <w:left w:val="nil"/>
              <w:bottom w:val="single" w:sz="12" w:space="0" w:color="000000"/>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Total other gains/(losses) from other economic flows</w:t>
            </w:r>
          </w:p>
        </w:tc>
        <w:tc>
          <w:tcPr>
            <w:tcW w:w="1134" w:type="dxa"/>
            <w:tcBorders>
              <w:top w:val="single" w:sz="6" w:space="0" w:color="000000"/>
              <w:left w:val="nil"/>
              <w:bottom w:val="single" w:sz="12"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(124)</w:t>
            </w:r>
          </w:p>
        </w:tc>
        <w:tc>
          <w:tcPr>
            <w:tcW w:w="1134" w:type="dxa"/>
            <w:tcBorders>
              <w:top w:val="single" w:sz="6" w:space="0" w:color="000000"/>
              <w:left w:val="nil"/>
              <w:bottom w:val="single" w:sz="12"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(318)</w:t>
            </w:r>
          </w:p>
        </w:tc>
      </w:tr>
    </w:tbl>
    <w:p w:rsidR="00FC1B31" w:rsidRDefault="00FC1B31" w:rsidP="00FC1B31"/>
    <w:p w:rsidR="00FC1B31" w:rsidRDefault="00FC1B31" w:rsidP="00283E0D">
      <w:pPr>
        <w:rPr>
          <w:rFonts w:ascii="Times New Roman" w:hAnsi="Times New Roman"/>
          <w:sz w:val="20"/>
          <w:lang w:eastAsia="en-AU"/>
        </w:rPr>
      </w:pPr>
    </w:p>
    <w:p w:rsidR="009A3756" w:rsidRDefault="009A3756" w:rsidP="009A3756">
      <w:pPr>
        <w:pStyle w:val="Heading2NotesQtrly"/>
      </w:pPr>
      <w:bookmarkStart w:id="21" w:name="_Toc435107443"/>
      <w:r w:rsidRPr="009A3756">
        <w:t>Note 11:</w:t>
      </w:r>
      <w:r w:rsidRPr="009A3756">
        <w:tab/>
        <w:t>Net acquisition of non-financi</w:t>
      </w:r>
      <w:r>
        <w:t>al assets from transactions</w:t>
      </w:r>
      <w:bookmarkEnd w:id="21"/>
    </w:p>
    <w:tbl>
      <w:tblPr>
        <w:tblW w:w="9637" w:type="dxa"/>
        <w:tblInd w:w="28" w:type="dxa"/>
        <w:tblLayout w:type="fixed"/>
        <w:tblCellMar>
          <w:left w:w="28" w:type="dxa"/>
          <w:right w:w="28" w:type="dxa"/>
        </w:tblCellMar>
        <w:tblLook w:val="0000" w:firstRow="0" w:lastRow="0" w:firstColumn="0" w:lastColumn="0" w:noHBand="0" w:noVBand="0"/>
      </w:tblPr>
      <w:tblGrid>
        <w:gridCol w:w="1134"/>
        <w:gridCol w:w="6235"/>
        <w:gridCol w:w="1134"/>
        <w:gridCol w:w="1134"/>
      </w:tblGrid>
      <w:tr w:rsidR="009A3756" w:rsidRPr="00FC1B31" w:rsidTr="009A3756">
        <w:trPr>
          <w:cantSplit/>
          <w:tblHeader/>
        </w:trPr>
        <w:tc>
          <w:tcPr>
            <w:tcW w:w="9637" w:type="dxa"/>
            <w:gridSpan w:val="4"/>
            <w:tcBorders>
              <w:top w:val="nil"/>
              <w:left w:val="nil"/>
              <w:bottom w:val="nil"/>
              <w:right w:val="nil"/>
            </w:tcBorders>
          </w:tcPr>
          <w:p w:rsidR="009A3756" w:rsidRPr="00FC1B31" w:rsidRDefault="009A3756" w:rsidP="00FC1B31">
            <w:pPr>
              <w:pStyle w:val="million"/>
              <w:rPr>
                <w:rFonts w:eastAsiaTheme="minorEastAsia"/>
                <w:lang w:eastAsia="en-AU"/>
              </w:rPr>
            </w:pPr>
            <w:r w:rsidRPr="00FC1B31">
              <w:rPr>
                <w:rFonts w:eastAsiaTheme="minorEastAsia"/>
                <w:lang w:eastAsia="en-AU"/>
              </w:rPr>
              <w:t>($ million)</w:t>
            </w:r>
          </w:p>
        </w:tc>
      </w:tr>
      <w:tr w:rsidR="00DB2687" w:rsidRPr="00FC1B31" w:rsidTr="00CD2CBF">
        <w:trPr>
          <w:cantSplit/>
          <w:tblHeader/>
        </w:trPr>
        <w:tc>
          <w:tcPr>
            <w:tcW w:w="1134" w:type="dxa"/>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2014-15 </w:t>
            </w:r>
          </w:p>
        </w:tc>
        <w:tc>
          <w:tcPr>
            <w:tcW w:w="6235" w:type="dxa"/>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2268" w:type="dxa"/>
            <w:gridSpan w:val="2"/>
            <w:tcBorders>
              <w:top w:val="nil"/>
              <w:left w:val="nil"/>
              <w:bottom w:val="nil"/>
              <w:right w:val="nil"/>
            </w:tcBorders>
            <w:shd w:val="solid" w:color="000000" w:fill="auto"/>
          </w:tcPr>
          <w:p w:rsidR="00DB2687" w:rsidRPr="00FC1B31" w:rsidRDefault="00DB2687" w:rsidP="00FC1B31">
            <w:pPr>
              <w:autoSpaceDE w:val="0"/>
              <w:autoSpaceDN w:val="0"/>
              <w:adjustRightInd w:val="0"/>
              <w:spacing w:after="0"/>
              <w:jc w:val="center"/>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2015-16</w:t>
            </w:r>
          </w:p>
        </w:tc>
      </w:tr>
      <w:tr w:rsidR="00DB2687" w:rsidRPr="00FC1B31" w:rsidTr="00AA681A">
        <w:trPr>
          <w:cantSplit/>
          <w:trHeight w:val="537"/>
          <w:tblHeader/>
        </w:trPr>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Actual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to Sep</w:t>
            </w:r>
          </w:p>
        </w:tc>
        <w:tc>
          <w:tcPr>
            <w:tcW w:w="6235"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p w:rsidR="00DB2687" w:rsidRPr="00FC1B31" w:rsidRDefault="00DB2687"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Actual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to Sep</w:t>
            </w:r>
          </w:p>
        </w:tc>
        <w:tc>
          <w:tcPr>
            <w:tcW w:w="1134" w:type="dxa"/>
            <w:tcBorders>
              <w:top w:val="nil"/>
              <w:left w:val="nil"/>
              <w:right w:val="nil"/>
            </w:tcBorders>
            <w:shd w:val="solid" w:color="000000" w:fill="auto"/>
          </w:tcPr>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 xml:space="preserve">Annual </w:t>
            </w:r>
          </w:p>
          <w:p w:rsidR="00DB2687" w:rsidRPr="00FC1B31" w:rsidRDefault="00DB2687" w:rsidP="00FC1B31">
            <w:pPr>
              <w:autoSpaceDE w:val="0"/>
              <w:autoSpaceDN w:val="0"/>
              <w:adjustRightInd w:val="0"/>
              <w:spacing w:after="0"/>
              <w:jc w:val="right"/>
              <w:rPr>
                <w:rFonts w:ascii="Calibri" w:eastAsiaTheme="minorEastAsia" w:hAnsi="Calibri" w:cs="Calibri"/>
                <w:i/>
                <w:iCs/>
                <w:color w:val="FFFFFF"/>
                <w:sz w:val="22"/>
                <w:szCs w:val="22"/>
                <w:lang w:eastAsia="en-AU"/>
              </w:rPr>
            </w:pPr>
            <w:r w:rsidRPr="00FC1B31">
              <w:rPr>
                <w:rFonts w:ascii="Calibri" w:eastAsiaTheme="minorEastAsia" w:hAnsi="Calibri" w:cs="Calibri"/>
                <w:i/>
                <w:iCs/>
                <w:color w:val="FFFFFF"/>
                <w:sz w:val="22"/>
                <w:szCs w:val="22"/>
                <w:lang w:eastAsia="en-AU"/>
              </w:rPr>
              <w:t>budget</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887</w:t>
            </w:r>
          </w:p>
        </w:tc>
        <w:tc>
          <w:tcPr>
            <w:tcW w:w="6235"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Purchases of non-financial assets (including change in inventories)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948</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4 552</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(36)</w:t>
            </w:r>
          </w:p>
        </w:tc>
        <w:tc>
          <w:tcPr>
            <w:tcW w:w="6235"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Less: Sales of non-financial assets</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(22)</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(322)</w:t>
            </w:r>
          </w:p>
        </w:tc>
      </w:tr>
      <w:tr w:rsidR="009A3756" w:rsidRPr="00FC1B31" w:rsidTr="009A3756">
        <w:trPr>
          <w:cantSplit/>
        </w:trPr>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(597)</w:t>
            </w:r>
          </w:p>
        </w:tc>
        <w:tc>
          <w:tcPr>
            <w:tcW w:w="6235" w:type="dxa"/>
            <w:tcBorders>
              <w:top w:val="nil"/>
              <w:left w:val="nil"/>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FC1B31">
              <w:rPr>
                <w:rFonts w:ascii="Calibri" w:eastAsiaTheme="minorEastAsia" w:hAnsi="Calibri" w:cs="Calibri"/>
                <w:color w:val="000000"/>
                <w:sz w:val="22"/>
                <w:szCs w:val="22"/>
                <w:lang w:eastAsia="en-AU"/>
              </w:rPr>
              <w:t>Less: Depreciation</w:t>
            </w:r>
            <w:r w:rsidRPr="00F54D2D">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(605)</w:t>
            </w:r>
          </w:p>
        </w:tc>
        <w:tc>
          <w:tcPr>
            <w:tcW w:w="1134" w:type="dxa"/>
            <w:tcBorders>
              <w:top w:val="nil"/>
              <w:left w:val="nil"/>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sidRPr="00FC1B31">
              <w:rPr>
                <w:rFonts w:ascii="Calibri" w:eastAsiaTheme="minorEastAsia" w:hAnsi="Calibri" w:cs="Calibri"/>
                <w:color w:val="000000"/>
                <w:sz w:val="22"/>
                <w:szCs w:val="22"/>
                <w:lang w:eastAsia="en-AU"/>
              </w:rPr>
              <w:t xml:space="preserve"> (2 577)</w:t>
            </w:r>
          </w:p>
        </w:tc>
      </w:tr>
      <w:tr w:rsidR="009A3756" w:rsidRPr="00FC1B31" w:rsidTr="009A3756">
        <w:trPr>
          <w:cantSplit/>
        </w:trPr>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(182)</w:t>
            </w:r>
          </w:p>
        </w:tc>
        <w:tc>
          <w:tcPr>
            <w:tcW w:w="6235"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FC1B31">
              <w:rPr>
                <w:rFonts w:ascii="Calibri" w:eastAsiaTheme="minorEastAsia" w:hAnsi="Calibri" w:cs="Calibri"/>
                <w:color w:val="000000"/>
                <w:sz w:val="22"/>
                <w:szCs w:val="22"/>
                <w:lang w:eastAsia="en-AU"/>
              </w:rPr>
              <w:t>Plus: Other movements in non-financial assets</w:t>
            </w:r>
            <w:r w:rsidRPr="00F54D2D">
              <w:rPr>
                <w:rFonts w:ascii="Calibri" w:eastAsiaTheme="minorEastAsia" w:hAnsi="Calibri" w:cs="Calibri"/>
                <w:color w:val="000000"/>
                <w:sz w:val="22"/>
                <w:szCs w:val="22"/>
                <w:vertAlign w:val="superscript"/>
                <w:lang w:eastAsia="en-AU"/>
              </w:rPr>
              <w:t>(a)</w:t>
            </w:r>
          </w:p>
        </w:tc>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(249)</w:t>
            </w:r>
          </w:p>
        </w:tc>
        <w:tc>
          <w:tcPr>
            <w:tcW w:w="1134" w:type="dxa"/>
            <w:tcBorders>
              <w:top w:val="nil"/>
              <w:left w:val="nil"/>
              <w:bottom w:val="single" w:sz="6" w:space="0" w:color="000000"/>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(287)</w:t>
            </w:r>
          </w:p>
        </w:tc>
      </w:tr>
      <w:tr w:rsidR="009A3756" w:rsidRPr="00FC1B31" w:rsidTr="009A3756">
        <w:trPr>
          <w:cantSplit/>
        </w:trPr>
        <w:tc>
          <w:tcPr>
            <w:tcW w:w="1134" w:type="dxa"/>
            <w:tcBorders>
              <w:top w:val="single" w:sz="6" w:space="0" w:color="000000"/>
              <w:left w:val="nil"/>
              <w:bottom w:val="single" w:sz="12" w:space="0" w:color="auto"/>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72</w:t>
            </w:r>
          </w:p>
        </w:tc>
        <w:tc>
          <w:tcPr>
            <w:tcW w:w="6235" w:type="dxa"/>
            <w:tcBorders>
              <w:top w:val="single" w:sz="6" w:space="0" w:color="000000"/>
              <w:left w:val="nil"/>
              <w:bottom w:val="single" w:sz="12" w:space="0" w:color="auto"/>
              <w:right w:val="nil"/>
            </w:tcBorders>
            <w:shd w:val="clear" w:color="auto" w:fill="FFFFFF"/>
          </w:tcPr>
          <w:p w:rsidR="009A3756" w:rsidRPr="00FC1B31" w:rsidRDefault="009A3756" w:rsidP="00FC1B31">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FC1B31">
              <w:rPr>
                <w:rFonts w:ascii="Calibri" w:eastAsiaTheme="minorEastAsia" w:hAnsi="Calibri" w:cs="Calibri"/>
                <w:b/>
                <w:bCs/>
                <w:color w:val="000000"/>
                <w:sz w:val="22"/>
                <w:szCs w:val="22"/>
                <w:lang w:eastAsia="en-AU"/>
              </w:rPr>
              <w:t>Total net acquisition of non-financial assets from transactions</w:t>
            </w:r>
          </w:p>
        </w:tc>
        <w:tc>
          <w:tcPr>
            <w:tcW w:w="1134" w:type="dxa"/>
            <w:tcBorders>
              <w:top w:val="single" w:sz="6" w:space="0" w:color="000000"/>
              <w:left w:val="nil"/>
              <w:bottom w:val="single" w:sz="12" w:space="0" w:color="auto"/>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 xml:space="preserve"> 72</w:t>
            </w:r>
          </w:p>
        </w:tc>
        <w:tc>
          <w:tcPr>
            <w:tcW w:w="1134" w:type="dxa"/>
            <w:tcBorders>
              <w:top w:val="single" w:sz="6" w:space="0" w:color="000000"/>
              <w:left w:val="nil"/>
              <w:bottom w:val="single" w:sz="12" w:space="0" w:color="auto"/>
              <w:right w:val="nil"/>
            </w:tcBorders>
            <w:shd w:val="clear" w:color="auto" w:fill="FFFFFF"/>
          </w:tcPr>
          <w:p w:rsidR="009A3756" w:rsidRPr="00FC1B31" w:rsidRDefault="009A3756" w:rsidP="00FC1B31">
            <w:pPr>
              <w:autoSpaceDE w:val="0"/>
              <w:autoSpaceDN w:val="0"/>
              <w:adjustRightInd w:val="0"/>
              <w:spacing w:after="0"/>
              <w:jc w:val="right"/>
              <w:rPr>
                <w:rFonts w:ascii="Calibri" w:eastAsiaTheme="minorEastAsia" w:hAnsi="Calibri" w:cs="Calibri"/>
                <w:b/>
                <w:bCs/>
                <w:color w:val="000000"/>
                <w:sz w:val="22"/>
                <w:szCs w:val="22"/>
                <w:lang w:eastAsia="en-AU"/>
              </w:rPr>
            </w:pPr>
            <w:r w:rsidRPr="00FC1B31">
              <w:rPr>
                <w:rFonts w:ascii="Calibri" w:eastAsiaTheme="minorEastAsia" w:hAnsi="Calibri" w:cs="Calibri"/>
                <w:b/>
                <w:bCs/>
                <w:color w:val="000000"/>
                <w:sz w:val="22"/>
                <w:szCs w:val="22"/>
                <w:lang w:eastAsia="en-AU"/>
              </w:rPr>
              <w:t>1 366</w:t>
            </w:r>
          </w:p>
        </w:tc>
      </w:tr>
      <w:tr w:rsidR="009A3756" w:rsidRPr="00FC1B31" w:rsidTr="009A3756">
        <w:trPr>
          <w:cantSplit/>
        </w:trPr>
        <w:tc>
          <w:tcPr>
            <w:tcW w:w="9637" w:type="dxa"/>
            <w:gridSpan w:val="4"/>
            <w:tcBorders>
              <w:top w:val="single" w:sz="12" w:space="0" w:color="auto"/>
              <w:left w:val="nil"/>
              <w:bottom w:val="nil"/>
              <w:right w:val="nil"/>
            </w:tcBorders>
            <w:shd w:val="clear" w:color="auto" w:fill="auto"/>
          </w:tcPr>
          <w:p w:rsidR="009A3756" w:rsidRPr="00FC1B31" w:rsidRDefault="009A3756" w:rsidP="00FC1B31">
            <w:pPr>
              <w:pStyle w:val="Notes"/>
              <w:rPr>
                <w:rFonts w:eastAsiaTheme="minorEastAsia"/>
                <w:lang w:eastAsia="en-AU"/>
              </w:rPr>
            </w:pPr>
            <w:r w:rsidRPr="00FC1B31">
              <w:rPr>
                <w:rFonts w:eastAsiaTheme="minorEastAsia"/>
                <w:lang w:eastAsia="en-AU"/>
              </w:rPr>
              <w:t>Note:</w:t>
            </w:r>
          </w:p>
        </w:tc>
      </w:tr>
      <w:tr w:rsidR="009A3756" w:rsidRPr="00FC1B31" w:rsidTr="009A3756">
        <w:trPr>
          <w:cantSplit/>
        </w:trPr>
        <w:tc>
          <w:tcPr>
            <w:tcW w:w="9637" w:type="dxa"/>
            <w:gridSpan w:val="4"/>
            <w:tcBorders>
              <w:top w:val="nil"/>
              <w:left w:val="nil"/>
              <w:bottom w:val="nil"/>
              <w:right w:val="nil"/>
            </w:tcBorders>
          </w:tcPr>
          <w:p w:rsidR="009A3756" w:rsidRPr="00FC1B31" w:rsidRDefault="009A3756" w:rsidP="00B566C6">
            <w:pPr>
              <w:pStyle w:val="Notes"/>
              <w:rPr>
                <w:rFonts w:eastAsiaTheme="minorEastAsia"/>
                <w:lang w:eastAsia="en-AU"/>
              </w:rPr>
            </w:pPr>
            <w:r>
              <w:rPr>
                <w:rFonts w:eastAsiaTheme="minorEastAsia"/>
                <w:lang w:eastAsia="en-AU"/>
              </w:rPr>
              <w:t>(a)</w:t>
            </w:r>
            <w:r>
              <w:rPr>
                <w:rFonts w:eastAsiaTheme="minorEastAsia"/>
                <w:lang w:eastAsia="en-AU"/>
              </w:rPr>
              <w:tab/>
              <w:t xml:space="preserve">September 2014-15 actual comparative figures and </w:t>
            </w:r>
            <w:r w:rsidRPr="00B93D58">
              <w:rPr>
                <w:rFonts w:eastAsiaTheme="minorEastAsia"/>
                <w:i w:val="0"/>
                <w:lang w:eastAsia="en-AU"/>
              </w:rPr>
              <w:t xml:space="preserve">2015-16 Budget </w:t>
            </w:r>
            <w:r>
              <w:rPr>
                <w:rFonts w:eastAsiaTheme="minorEastAsia"/>
                <w:lang w:eastAsia="en-AU"/>
              </w:rPr>
              <w:t xml:space="preserve">figures have been restated to reflect more current information. </w:t>
            </w:r>
          </w:p>
        </w:tc>
      </w:tr>
    </w:tbl>
    <w:p w:rsidR="00EF42A6" w:rsidRDefault="00EF42A6" w:rsidP="00D07FED"/>
    <w:p w:rsidR="00BF1FB8" w:rsidRDefault="00BF1FB8" w:rsidP="00D07FED">
      <w:pPr>
        <w:rPr>
          <w:rFonts w:ascii="Times New Roman" w:hAnsi="Times New Roman"/>
          <w:b/>
          <w:caps/>
          <w:sz w:val="20"/>
          <w:lang w:eastAsia="en-AU"/>
        </w:rPr>
      </w:pPr>
    </w:p>
    <w:p w:rsidR="007444E7" w:rsidRDefault="007444E7">
      <w:r>
        <w:rPr>
          <w:b/>
        </w:rPr>
        <w:br w:type="page"/>
      </w:r>
    </w:p>
    <w:p w:rsidR="009A3756" w:rsidRDefault="009A3756" w:rsidP="009A3756">
      <w:pPr>
        <w:pStyle w:val="Heading2NotesQtrly"/>
      </w:pPr>
      <w:bookmarkStart w:id="22" w:name="_Toc435107444"/>
      <w:r>
        <w:lastRenderedPageBreak/>
        <w:t>Note 12:</w:t>
      </w:r>
      <w:r>
        <w:tab/>
        <w:t>Receivables</w:t>
      </w:r>
      <w:bookmarkEnd w:id="22"/>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BF1FB8" w:rsidTr="009A3756">
        <w:trPr>
          <w:cantSplit/>
          <w:tblHeader/>
        </w:trPr>
        <w:tc>
          <w:tcPr>
            <w:tcW w:w="9638" w:type="dxa"/>
            <w:gridSpan w:val="5"/>
            <w:tcBorders>
              <w:top w:val="nil"/>
              <w:left w:val="nil"/>
              <w:bottom w:val="nil"/>
              <w:right w:val="nil"/>
            </w:tcBorders>
          </w:tcPr>
          <w:p w:rsidR="009A3756" w:rsidRPr="00BF1FB8" w:rsidRDefault="009A3756" w:rsidP="00BF1FB8">
            <w:pPr>
              <w:pStyle w:val="million"/>
              <w:rPr>
                <w:rFonts w:eastAsiaTheme="minorEastAsia"/>
                <w:lang w:eastAsia="en-AU"/>
              </w:rPr>
            </w:pPr>
            <w:r w:rsidRPr="00BF1FB8">
              <w:rPr>
                <w:rFonts w:eastAsiaTheme="minorEastAsia"/>
                <w:lang w:eastAsia="en-AU"/>
              </w:rPr>
              <w:t>($ million)</w:t>
            </w:r>
          </w:p>
        </w:tc>
      </w:tr>
      <w:tr w:rsidR="009A3756" w:rsidRPr="00BF1FB8" w:rsidTr="009A3756">
        <w:trPr>
          <w:cantSplit/>
          <w:tblHeader/>
        </w:trPr>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r>
      <w:tr w:rsidR="00DB2687" w:rsidRPr="00BF1FB8" w:rsidTr="00C94553">
        <w:trPr>
          <w:cantSplit/>
          <w:trHeight w:val="537"/>
          <w:tblHeader/>
        </w:trPr>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5102" w:type="dxa"/>
            <w:tcBorders>
              <w:top w:val="nil"/>
              <w:left w:val="nil"/>
              <w:right w:val="nil"/>
            </w:tcBorders>
            <w:shd w:val="solid" w:color="000000" w:fill="auto"/>
          </w:tcPr>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Opening</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Budget</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Jun</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Contractual</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694</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Sales of goods and services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675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846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674</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28</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Accrued investment income</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17</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23</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17</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1 147</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Other receivables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1 262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1 306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1 124</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(71)</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Provision for doubtful contractual receivables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(69)</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(67)</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Statutory</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5</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Sales of goods and services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3</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2 257</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Taxes receivables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2 492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2 669</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2 361</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1 728</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Fines and regulatory fees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1 761</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1 803</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2 040</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243</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GST input tax credits recoverable</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255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196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255</w:t>
            </w:r>
          </w:p>
        </w:tc>
      </w:tr>
      <w:tr w:rsidR="009A3756" w:rsidRPr="00BF1FB8" w:rsidTr="009A3756">
        <w:trPr>
          <w:cantSplit/>
        </w:trPr>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(864)</w:t>
            </w:r>
          </w:p>
        </w:tc>
        <w:tc>
          <w:tcPr>
            <w:tcW w:w="5102"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Provision for doubtful statutory receivables</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(838)</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(863)</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(1 004)</w:t>
            </w:r>
          </w:p>
        </w:tc>
      </w:tr>
      <w:tr w:rsidR="009A3756" w:rsidRPr="00BF1FB8"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5 169</w:t>
            </w:r>
          </w:p>
        </w:tc>
        <w:tc>
          <w:tcPr>
            <w:tcW w:w="5102"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Total receivables</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5 555</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5 897</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5 404</w:t>
            </w:r>
          </w:p>
        </w:tc>
      </w:tr>
      <w:tr w:rsidR="009A3756" w:rsidRPr="00BF1FB8" w:rsidTr="009A3756">
        <w:trPr>
          <w:cantSplit/>
        </w:trPr>
        <w:tc>
          <w:tcPr>
            <w:tcW w:w="1134" w:type="dxa"/>
            <w:tcBorders>
              <w:top w:val="single" w:sz="12" w:space="0" w:color="000000"/>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5102" w:type="dxa"/>
            <w:tcBorders>
              <w:top w:val="single" w:sz="12" w:space="0" w:color="000000"/>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Represented by:</w:t>
            </w:r>
          </w:p>
        </w:tc>
        <w:tc>
          <w:tcPr>
            <w:tcW w:w="1134" w:type="dxa"/>
            <w:tcBorders>
              <w:top w:val="single" w:sz="12" w:space="0" w:color="000000"/>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4 235</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Current receivables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4 447</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4 785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4 329</w:t>
            </w:r>
          </w:p>
        </w:tc>
      </w:tr>
      <w:tr w:rsidR="009A3756" w:rsidRPr="00BF1FB8" w:rsidTr="009A3756">
        <w:trPr>
          <w:cantSplit/>
        </w:trPr>
        <w:tc>
          <w:tcPr>
            <w:tcW w:w="1134" w:type="dxa"/>
            <w:tcBorders>
              <w:top w:val="nil"/>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934</w:t>
            </w:r>
          </w:p>
        </w:tc>
        <w:tc>
          <w:tcPr>
            <w:tcW w:w="5102" w:type="dxa"/>
            <w:tcBorders>
              <w:top w:val="nil"/>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Non-current receivables</w:t>
            </w:r>
          </w:p>
        </w:tc>
        <w:tc>
          <w:tcPr>
            <w:tcW w:w="1134" w:type="dxa"/>
            <w:tcBorders>
              <w:top w:val="nil"/>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1 109</w:t>
            </w:r>
          </w:p>
        </w:tc>
        <w:tc>
          <w:tcPr>
            <w:tcW w:w="1134" w:type="dxa"/>
            <w:tcBorders>
              <w:top w:val="nil"/>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1 112</w:t>
            </w:r>
          </w:p>
        </w:tc>
        <w:tc>
          <w:tcPr>
            <w:tcW w:w="1134" w:type="dxa"/>
            <w:tcBorders>
              <w:top w:val="nil"/>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1 076</w:t>
            </w:r>
          </w:p>
        </w:tc>
      </w:tr>
    </w:tbl>
    <w:p w:rsidR="00AD7DCB" w:rsidRPr="007444E7" w:rsidRDefault="00AD7DCB">
      <w:pPr>
        <w:rPr>
          <w:rFonts w:ascii="Times New Roman" w:hAnsi="Times New Roman"/>
          <w:sz w:val="20"/>
          <w:lang w:eastAsia="en-AU"/>
        </w:rPr>
      </w:pPr>
    </w:p>
    <w:p w:rsidR="007444E7" w:rsidRDefault="007444E7">
      <w:r>
        <w:rPr>
          <w:b/>
        </w:rPr>
        <w:br w:type="page"/>
      </w:r>
    </w:p>
    <w:p w:rsidR="009A3756" w:rsidRDefault="009A3756" w:rsidP="009A3756">
      <w:pPr>
        <w:pStyle w:val="Heading2NotesQtrly"/>
      </w:pPr>
      <w:bookmarkStart w:id="23" w:name="_Toc435107445"/>
      <w:r>
        <w:lastRenderedPageBreak/>
        <w:t>Note 13:</w:t>
      </w:r>
      <w:r>
        <w:tab/>
        <w:t>Land, buildings, infrastructure, plant and equipment</w:t>
      </w:r>
      <w:bookmarkEnd w:id="23"/>
    </w:p>
    <w:p w:rsidR="009A3756" w:rsidRDefault="009A3756" w:rsidP="009A3756">
      <w:pPr>
        <w:pStyle w:val="Tableheading"/>
      </w:pPr>
      <w:r>
        <w:t>(a)</w:t>
      </w:r>
      <w:r>
        <w:tab/>
        <w:t>Total land, buildings, infrastructure, plant and equipment (net carrying amount)</w:t>
      </w:r>
      <w:r w:rsidRPr="009A3756">
        <w:rPr>
          <w:vertAlign w:val="superscript"/>
        </w:rPr>
        <w:t>(a)</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BF1FB8" w:rsidTr="009A3756">
        <w:trPr>
          <w:cantSplit/>
          <w:tblHeader/>
        </w:trPr>
        <w:tc>
          <w:tcPr>
            <w:tcW w:w="9638" w:type="dxa"/>
            <w:gridSpan w:val="5"/>
            <w:tcBorders>
              <w:top w:val="nil"/>
              <w:left w:val="nil"/>
              <w:bottom w:val="nil"/>
              <w:right w:val="nil"/>
            </w:tcBorders>
          </w:tcPr>
          <w:p w:rsidR="009A3756" w:rsidRPr="00BF1FB8" w:rsidRDefault="009A3756" w:rsidP="00BF1FB8">
            <w:pPr>
              <w:pStyle w:val="million"/>
              <w:rPr>
                <w:rFonts w:eastAsiaTheme="minorEastAsia"/>
                <w:lang w:eastAsia="en-AU"/>
              </w:rPr>
            </w:pPr>
            <w:r w:rsidRPr="00BF1FB8">
              <w:rPr>
                <w:rFonts w:eastAsiaTheme="minorEastAsia"/>
                <w:lang w:eastAsia="en-AU"/>
              </w:rPr>
              <w:t>($ million)</w:t>
            </w:r>
          </w:p>
        </w:tc>
      </w:tr>
      <w:tr w:rsidR="009A3756" w:rsidRPr="00BF1FB8" w:rsidTr="009A3756">
        <w:trPr>
          <w:cantSplit/>
          <w:tblHeader/>
        </w:trPr>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r>
      <w:tr w:rsidR="00DB2687" w:rsidRPr="00BF1FB8" w:rsidTr="00896295">
        <w:trPr>
          <w:cantSplit/>
          <w:trHeight w:val="537"/>
          <w:tblHeader/>
        </w:trPr>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r w:rsidRPr="00BF1FB8">
              <w:rPr>
                <w:rFonts w:ascii="Calibri" w:eastAsiaTheme="minorEastAsia" w:hAnsi="Calibri" w:cs="Calibri"/>
                <w:i/>
                <w:iCs/>
                <w:color w:val="FFFFFF"/>
                <w:sz w:val="22"/>
                <w:szCs w:val="22"/>
                <w:vertAlign w:val="superscript"/>
                <w:lang w:eastAsia="en-AU"/>
              </w:rPr>
              <w:t>(b)</w:t>
            </w:r>
          </w:p>
        </w:tc>
        <w:tc>
          <w:tcPr>
            <w:tcW w:w="5102" w:type="dxa"/>
            <w:tcBorders>
              <w:top w:val="nil"/>
              <w:left w:val="nil"/>
              <w:right w:val="nil"/>
            </w:tcBorders>
            <w:shd w:val="solid" w:color="000000" w:fill="auto"/>
          </w:tcPr>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Opening</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Budget</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Jun</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26 005</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Buildings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25 976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25 932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26 225</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2 400</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Buildings leasehold</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2 476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2 465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3 463</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37 575</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Land and national parks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40 699</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40 712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41 072</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1 268</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Infrastructure systems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1 299</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1 410</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1 314</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2 544</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Plant, equipment and vehicles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2 465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2 380</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2 382</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22 071</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Roads and road networks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21 485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21 441</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21 941</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7 685</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Earthworks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7 690</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7 690</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7 831</w:t>
            </w:r>
          </w:p>
        </w:tc>
      </w:tr>
      <w:tr w:rsidR="009A3756" w:rsidRPr="00BF1FB8" w:rsidTr="009A3756">
        <w:trPr>
          <w:cantSplit/>
        </w:trPr>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5 488</w:t>
            </w:r>
          </w:p>
        </w:tc>
        <w:tc>
          <w:tcPr>
            <w:tcW w:w="5102"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Cultural assets</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5 496</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5 497</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5 506</w:t>
            </w:r>
          </w:p>
        </w:tc>
      </w:tr>
      <w:tr w:rsidR="009A3756" w:rsidRPr="00BF1FB8" w:rsidTr="009A3756">
        <w:trPr>
          <w:cantSplit/>
        </w:trPr>
        <w:tc>
          <w:tcPr>
            <w:tcW w:w="1134"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105 037</w:t>
            </w:r>
          </w:p>
        </w:tc>
        <w:tc>
          <w:tcPr>
            <w:tcW w:w="5102"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Total land, buildings, infrastructure, plant and equipment</w:t>
            </w:r>
          </w:p>
        </w:tc>
        <w:tc>
          <w:tcPr>
            <w:tcW w:w="1134"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107 586</w:t>
            </w:r>
          </w:p>
        </w:tc>
        <w:tc>
          <w:tcPr>
            <w:tcW w:w="1134"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107 527</w:t>
            </w:r>
          </w:p>
        </w:tc>
        <w:tc>
          <w:tcPr>
            <w:tcW w:w="1134"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109 733</w:t>
            </w:r>
          </w:p>
        </w:tc>
      </w:tr>
      <w:tr w:rsidR="009A3756" w:rsidRPr="00BF1FB8" w:rsidTr="009A3756">
        <w:trPr>
          <w:cantSplit/>
        </w:trPr>
        <w:tc>
          <w:tcPr>
            <w:tcW w:w="9638" w:type="dxa"/>
            <w:gridSpan w:val="5"/>
            <w:tcBorders>
              <w:top w:val="single" w:sz="12" w:space="0" w:color="auto"/>
              <w:left w:val="nil"/>
              <w:bottom w:val="nil"/>
              <w:right w:val="nil"/>
            </w:tcBorders>
            <w:shd w:val="clear" w:color="auto" w:fill="auto"/>
          </w:tcPr>
          <w:p w:rsidR="009A3756" w:rsidRPr="00BF1FB8" w:rsidRDefault="009A3756" w:rsidP="00BF1FB8">
            <w:pPr>
              <w:pStyle w:val="Notes"/>
              <w:rPr>
                <w:rFonts w:eastAsiaTheme="minorEastAsia"/>
                <w:lang w:eastAsia="en-AU"/>
              </w:rPr>
            </w:pPr>
            <w:r>
              <w:rPr>
                <w:rFonts w:eastAsiaTheme="minorEastAsia"/>
                <w:lang w:eastAsia="en-AU"/>
              </w:rPr>
              <w:t>Notes:</w:t>
            </w:r>
          </w:p>
        </w:tc>
      </w:tr>
      <w:tr w:rsidR="009A3756" w:rsidRPr="00BF1FB8" w:rsidTr="009A3756">
        <w:trPr>
          <w:cantSplit/>
        </w:trPr>
        <w:tc>
          <w:tcPr>
            <w:tcW w:w="9638" w:type="dxa"/>
            <w:gridSpan w:val="5"/>
            <w:tcBorders>
              <w:top w:val="nil"/>
              <w:left w:val="nil"/>
              <w:bottom w:val="nil"/>
              <w:right w:val="nil"/>
            </w:tcBorders>
          </w:tcPr>
          <w:p w:rsidR="009A3756" w:rsidRPr="00BF1FB8" w:rsidRDefault="009A3756" w:rsidP="00BF1FB8">
            <w:pPr>
              <w:pStyle w:val="Notes"/>
              <w:rPr>
                <w:rFonts w:eastAsiaTheme="minorEastAsia"/>
                <w:lang w:eastAsia="en-AU"/>
              </w:rPr>
            </w:pPr>
            <w:r>
              <w:rPr>
                <w:rFonts w:eastAsiaTheme="minorEastAsia"/>
                <w:lang w:eastAsia="en-AU"/>
              </w:rPr>
              <w:t>(a)</w:t>
            </w:r>
            <w:r>
              <w:rPr>
                <w:rFonts w:eastAsiaTheme="minorEastAsia"/>
                <w:lang w:eastAsia="en-AU"/>
              </w:rPr>
              <w:tab/>
              <w:t>Net carrying amount shown for all line items except land and earthworks.</w:t>
            </w:r>
          </w:p>
        </w:tc>
      </w:tr>
      <w:tr w:rsidR="009A3756" w:rsidRPr="00BF1FB8" w:rsidTr="009A3756">
        <w:trPr>
          <w:cantSplit/>
        </w:trPr>
        <w:tc>
          <w:tcPr>
            <w:tcW w:w="9638" w:type="dxa"/>
            <w:gridSpan w:val="5"/>
            <w:tcBorders>
              <w:top w:val="nil"/>
              <w:left w:val="nil"/>
              <w:bottom w:val="nil"/>
              <w:right w:val="nil"/>
            </w:tcBorders>
          </w:tcPr>
          <w:p w:rsidR="009A3756" w:rsidRPr="00BF1FB8" w:rsidRDefault="009A3756" w:rsidP="00BF1FB8">
            <w:pPr>
              <w:pStyle w:val="Notes"/>
              <w:rPr>
                <w:rFonts w:eastAsiaTheme="minorEastAsia"/>
                <w:lang w:eastAsia="en-AU"/>
              </w:rPr>
            </w:pPr>
            <w:r>
              <w:rPr>
                <w:rFonts w:eastAsiaTheme="minorEastAsia"/>
                <w:lang w:eastAsia="en-AU"/>
              </w:rPr>
              <w:t>(b)</w:t>
            </w:r>
            <w:r>
              <w:rPr>
                <w:rFonts w:eastAsiaTheme="minorEastAsia"/>
                <w:lang w:eastAsia="en-AU"/>
              </w:rPr>
              <w:tab/>
              <w:t>September 2014-15 comparative figures have been restated to reflect more current information.</w:t>
            </w:r>
          </w:p>
        </w:tc>
      </w:tr>
    </w:tbl>
    <w:p w:rsidR="00B1762A" w:rsidRDefault="00B1762A" w:rsidP="00AD7DCB"/>
    <w:p w:rsidR="00BF1FB8" w:rsidRDefault="00BF1FB8" w:rsidP="00AD7DCB">
      <w:pPr>
        <w:rPr>
          <w:rFonts w:ascii="Times New Roman" w:hAnsi="Times New Roman"/>
          <w:sz w:val="20"/>
          <w:lang w:eastAsia="en-AU"/>
        </w:rPr>
      </w:pPr>
    </w:p>
    <w:p w:rsidR="009A3756" w:rsidRDefault="009A3756" w:rsidP="009A3756">
      <w:pPr>
        <w:pStyle w:val="Tableheading"/>
      </w:pPr>
      <w:r>
        <w:t>(b)</w:t>
      </w:r>
      <w:r>
        <w:tab/>
        <w:t>Land and buildings</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BF1FB8" w:rsidTr="009A3756">
        <w:trPr>
          <w:cantSplit/>
          <w:tblHeader/>
        </w:trPr>
        <w:tc>
          <w:tcPr>
            <w:tcW w:w="9638" w:type="dxa"/>
            <w:gridSpan w:val="5"/>
            <w:tcBorders>
              <w:top w:val="nil"/>
              <w:left w:val="nil"/>
              <w:bottom w:val="nil"/>
              <w:right w:val="nil"/>
            </w:tcBorders>
          </w:tcPr>
          <w:p w:rsidR="009A3756" w:rsidRPr="00BF1FB8" w:rsidRDefault="009A3756" w:rsidP="00BF1FB8">
            <w:pPr>
              <w:pStyle w:val="million"/>
              <w:rPr>
                <w:rFonts w:eastAsiaTheme="minorEastAsia"/>
                <w:lang w:eastAsia="en-AU"/>
              </w:rPr>
            </w:pPr>
            <w:r w:rsidRPr="00BF1FB8">
              <w:rPr>
                <w:rFonts w:eastAsiaTheme="minorEastAsia"/>
                <w:lang w:eastAsia="en-AU"/>
              </w:rPr>
              <w:t>($ million)</w:t>
            </w:r>
          </w:p>
        </w:tc>
      </w:tr>
      <w:tr w:rsidR="009A3756" w:rsidRPr="00BF1FB8" w:rsidTr="009A3756">
        <w:trPr>
          <w:cantSplit/>
          <w:tblHeader/>
        </w:trPr>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r>
      <w:tr w:rsidR="00DB2687" w:rsidRPr="00BF1FB8" w:rsidTr="00F27F09">
        <w:trPr>
          <w:cantSplit/>
          <w:trHeight w:val="537"/>
          <w:tblHeader/>
        </w:trPr>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r w:rsidRPr="00BF1FB8">
              <w:rPr>
                <w:rFonts w:ascii="Calibri" w:eastAsiaTheme="minorEastAsia" w:hAnsi="Calibri" w:cs="Calibri"/>
                <w:i/>
                <w:iCs/>
                <w:color w:val="FFFFFF"/>
                <w:sz w:val="22"/>
                <w:szCs w:val="22"/>
                <w:vertAlign w:val="superscript"/>
                <w:lang w:eastAsia="en-AU"/>
              </w:rPr>
              <w:t>(a)</w:t>
            </w:r>
          </w:p>
        </w:tc>
        <w:tc>
          <w:tcPr>
            <w:tcW w:w="5102" w:type="dxa"/>
            <w:tcBorders>
              <w:top w:val="nil"/>
              <w:left w:val="nil"/>
              <w:right w:val="nil"/>
            </w:tcBorders>
            <w:shd w:val="solid" w:color="000000" w:fill="auto"/>
          </w:tcPr>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Opening</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Budget</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Jun</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27 743</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Buildings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28 236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28 432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29 543</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(1 738)</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Accumulated depreciation</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(2 260)</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(2 500)</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(3 318)</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26 005</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Buildings (net carrying amount)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25 976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25 932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26 225</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2 820</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Buildings leasehold</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2 967</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2 991</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4 050</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(420)</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Buildings leasehold accumulated depreciation</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(491)</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(526)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(588)</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2 400</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Buildings leasehold (net carrying amount)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2 476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2 465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3 463</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35 891</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Land</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39 637</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39 651</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39 919</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1 684</w:t>
            </w:r>
          </w:p>
        </w:tc>
        <w:tc>
          <w:tcPr>
            <w:tcW w:w="5102" w:type="dxa"/>
            <w:tcBorders>
              <w:top w:val="nil"/>
              <w:left w:val="nil"/>
              <w:right w:val="nil"/>
            </w:tcBorders>
            <w:shd w:val="clear" w:color="auto" w:fill="FFFFFF"/>
          </w:tcPr>
          <w:p w:rsidR="009A3756" w:rsidRPr="00BF1FB8" w:rsidRDefault="009A3756" w:rsidP="00494B5B">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National parks and other ’land only’ holdings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1 062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1 062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1 153</w:t>
            </w:r>
          </w:p>
        </w:tc>
      </w:tr>
      <w:tr w:rsidR="009A3756" w:rsidRPr="00BF1FB8" w:rsidTr="009A3756">
        <w:trPr>
          <w:cantSplit/>
        </w:trPr>
        <w:tc>
          <w:tcPr>
            <w:tcW w:w="1134" w:type="dxa"/>
            <w:tcBorders>
              <w:top w:val="nil"/>
              <w:left w:val="nil"/>
              <w:bottom w:val="single" w:sz="4"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37 575</w:t>
            </w:r>
          </w:p>
        </w:tc>
        <w:tc>
          <w:tcPr>
            <w:tcW w:w="5102" w:type="dxa"/>
            <w:tcBorders>
              <w:top w:val="nil"/>
              <w:left w:val="nil"/>
              <w:bottom w:val="single" w:sz="4" w:space="0" w:color="auto"/>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Land and national parks</w:t>
            </w:r>
          </w:p>
        </w:tc>
        <w:tc>
          <w:tcPr>
            <w:tcW w:w="1134" w:type="dxa"/>
            <w:tcBorders>
              <w:top w:val="nil"/>
              <w:left w:val="nil"/>
              <w:bottom w:val="single" w:sz="4"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40 699</w:t>
            </w:r>
          </w:p>
        </w:tc>
        <w:tc>
          <w:tcPr>
            <w:tcW w:w="1134" w:type="dxa"/>
            <w:tcBorders>
              <w:top w:val="nil"/>
              <w:left w:val="nil"/>
              <w:bottom w:val="single" w:sz="4"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40 712</w:t>
            </w:r>
          </w:p>
        </w:tc>
        <w:tc>
          <w:tcPr>
            <w:tcW w:w="1134" w:type="dxa"/>
            <w:tcBorders>
              <w:top w:val="nil"/>
              <w:left w:val="nil"/>
              <w:bottom w:val="single" w:sz="4"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41 072</w:t>
            </w:r>
          </w:p>
        </w:tc>
      </w:tr>
      <w:tr w:rsidR="009A3756" w:rsidRPr="00BF1FB8" w:rsidTr="009A3756">
        <w:trPr>
          <w:cantSplit/>
        </w:trPr>
        <w:tc>
          <w:tcPr>
            <w:tcW w:w="1134" w:type="dxa"/>
            <w:tcBorders>
              <w:top w:val="single" w:sz="4" w:space="0" w:color="auto"/>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65 981</w:t>
            </w:r>
          </w:p>
        </w:tc>
        <w:tc>
          <w:tcPr>
            <w:tcW w:w="5102" w:type="dxa"/>
            <w:tcBorders>
              <w:top w:val="single" w:sz="4" w:space="0" w:color="auto"/>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Total land and buildings</w:t>
            </w:r>
          </w:p>
        </w:tc>
        <w:tc>
          <w:tcPr>
            <w:tcW w:w="1134" w:type="dxa"/>
            <w:tcBorders>
              <w:top w:val="single" w:sz="4" w:space="0" w:color="auto"/>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69 151</w:t>
            </w:r>
          </w:p>
        </w:tc>
        <w:tc>
          <w:tcPr>
            <w:tcW w:w="1134" w:type="dxa"/>
            <w:tcBorders>
              <w:top w:val="single" w:sz="4" w:space="0" w:color="auto"/>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69 109</w:t>
            </w:r>
          </w:p>
        </w:tc>
        <w:tc>
          <w:tcPr>
            <w:tcW w:w="1134" w:type="dxa"/>
            <w:tcBorders>
              <w:top w:val="single" w:sz="4" w:space="0" w:color="auto"/>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70 760</w:t>
            </w:r>
          </w:p>
        </w:tc>
      </w:tr>
      <w:tr w:rsidR="009A3756" w:rsidRPr="00BF1FB8" w:rsidTr="009A3756">
        <w:trPr>
          <w:cantSplit/>
        </w:trPr>
        <w:tc>
          <w:tcPr>
            <w:tcW w:w="9638" w:type="dxa"/>
            <w:gridSpan w:val="5"/>
            <w:tcBorders>
              <w:top w:val="single" w:sz="12" w:space="0" w:color="auto"/>
              <w:left w:val="nil"/>
              <w:bottom w:val="nil"/>
              <w:right w:val="nil"/>
            </w:tcBorders>
            <w:shd w:val="clear" w:color="auto" w:fill="auto"/>
          </w:tcPr>
          <w:p w:rsidR="009A3756" w:rsidRPr="00BF1FB8" w:rsidRDefault="009A3756" w:rsidP="00BF1FB8">
            <w:pPr>
              <w:pStyle w:val="Notes"/>
              <w:rPr>
                <w:rFonts w:eastAsiaTheme="minorEastAsia"/>
                <w:lang w:eastAsia="en-AU"/>
              </w:rPr>
            </w:pPr>
            <w:r w:rsidRPr="00BF1FB8">
              <w:rPr>
                <w:rFonts w:eastAsiaTheme="minorEastAsia"/>
                <w:lang w:eastAsia="en-AU"/>
              </w:rPr>
              <w:t>Note:</w:t>
            </w:r>
          </w:p>
        </w:tc>
      </w:tr>
      <w:tr w:rsidR="009A3756" w:rsidRPr="00BF1FB8" w:rsidTr="009A3756">
        <w:trPr>
          <w:cantSplit/>
        </w:trPr>
        <w:tc>
          <w:tcPr>
            <w:tcW w:w="9638" w:type="dxa"/>
            <w:gridSpan w:val="5"/>
            <w:tcBorders>
              <w:top w:val="nil"/>
              <w:left w:val="nil"/>
              <w:bottom w:val="nil"/>
              <w:right w:val="nil"/>
            </w:tcBorders>
          </w:tcPr>
          <w:p w:rsidR="009A3756" w:rsidRPr="00BF1FB8" w:rsidRDefault="009A3756" w:rsidP="00B566C6">
            <w:pPr>
              <w:pStyle w:val="Notes"/>
              <w:rPr>
                <w:rFonts w:eastAsiaTheme="minorEastAsia"/>
                <w:lang w:eastAsia="en-AU"/>
              </w:rPr>
            </w:pPr>
            <w:r>
              <w:rPr>
                <w:rFonts w:eastAsiaTheme="minorEastAsia"/>
                <w:lang w:eastAsia="en-AU"/>
              </w:rPr>
              <w:t>(a)</w:t>
            </w:r>
            <w:r>
              <w:rPr>
                <w:rFonts w:eastAsiaTheme="minorEastAsia"/>
                <w:lang w:eastAsia="en-AU"/>
              </w:rPr>
              <w:tab/>
              <w:t>September 2014-15 comparative figures have been restated to reflect more current information.</w:t>
            </w:r>
          </w:p>
        </w:tc>
      </w:tr>
    </w:tbl>
    <w:p w:rsidR="00283E0D" w:rsidRDefault="00283E0D" w:rsidP="00283E0D"/>
    <w:p w:rsidR="007A0F9E" w:rsidRDefault="007A0F9E" w:rsidP="00283E0D"/>
    <w:p w:rsidR="00E1277E" w:rsidRDefault="00E1277E">
      <w:pPr>
        <w:spacing w:after="0"/>
        <w:rPr>
          <w:rFonts w:ascii="Calibri" w:hAnsi="Calibri"/>
          <w:b/>
          <w:kern w:val="28"/>
          <w:sz w:val="28"/>
          <w:szCs w:val="22"/>
        </w:rPr>
      </w:pPr>
      <w:r>
        <w:br w:type="page"/>
      </w:r>
    </w:p>
    <w:p w:rsidR="0097798E" w:rsidRDefault="00E1277E" w:rsidP="00E1277E">
      <w:pPr>
        <w:pStyle w:val="Heading2NotesContd"/>
        <w:rPr>
          <w:rFonts w:ascii="Times New Roman" w:hAnsi="Times New Roman"/>
          <w:sz w:val="20"/>
          <w:lang w:eastAsia="en-AU"/>
        </w:rPr>
      </w:pPr>
      <w:r w:rsidRPr="00E1277E">
        <w:lastRenderedPageBreak/>
        <w:t>Note 13:</w:t>
      </w:r>
      <w:r w:rsidRPr="00E1277E">
        <w:tab/>
        <w:t>Land, buildings, infrastructure, plant and equipment</w:t>
      </w:r>
      <w:r>
        <w:t xml:space="preserve"> </w:t>
      </w:r>
      <w:r w:rsidRPr="00E1277E">
        <w:rPr>
          <w:i/>
        </w:rPr>
        <w:t>(continued)</w:t>
      </w:r>
    </w:p>
    <w:p w:rsidR="009A3756" w:rsidRDefault="009A3756" w:rsidP="009A3756">
      <w:pPr>
        <w:pStyle w:val="Tableheading"/>
      </w:pPr>
      <w:r w:rsidRPr="009A3756">
        <w:t>(c)</w:t>
      </w:r>
      <w:r w:rsidRPr="009A3756">
        <w:tab/>
        <w:t>Plant, equipment, vehicles a</w:t>
      </w:r>
      <w:r>
        <w:t>nd infrastructure systems</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97798E" w:rsidTr="009A3756">
        <w:trPr>
          <w:cantSplit/>
          <w:tblHeader/>
        </w:trPr>
        <w:tc>
          <w:tcPr>
            <w:tcW w:w="9638" w:type="dxa"/>
            <w:gridSpan w:val="5"/>
            <w:tcBorders>
              <w:top w:val="nil"/>
              <w:left w:val="nil"/>
              <w:bottom w:val="nil"/>
              <w:right w:val="nil"/>
            </w:tcBorders>
          </w:tcPr>
          <w:p w:rsidR="009A3756" w:rsidRPr="0097798E" w:rsidRDefault="009A3756" w:rsidP="0097798E">
            <w:pPr>
              <w:pStyle w:val="million"/>
              <w:rPr>
                <w:rFonts w:eastAsiaTheme="minorEastAsia"/>
                <w:lang w:eastAsia="en-AU"/>
              </w:rPr>
            </w:pPr>
            <w:r w:rsidRPr="0097798E">
              <w:rPr>
                <w:rFonts w:eastAsiaTheme="minorEastAsia"/>
                <w:lang w:eastAsia="en-AU"/>
              </w:rPr>
              <w:t>($ million)</w:t>
            </w:r>
          </w:p>
        </w:tc>
      </w:tr>
      <w:tr w:rsidR="009A3756" w:rsidRPr="0097798E" w:rsidTr="009A3756">
        <w:trPr>
          <w:cantSplit/>
          <w:tblHeader/>
        </w:trPr>
        <w:tc>
          <w:tcPr>
            <w:tcW w:w="1134" w:type="dxa"/>
            <w:tcBorders>
              <w:top w:val="nil"/>
              <w:left w:val="nil"/>
              <w:bottom w:val="nil"/>
              <w:right w:val="nil"/>
            </w:tcBorders>
            <w:shd w:val="solid" w:color="000000" w:fill="auto"/>
          </w:tcPr>
          <w:p w:rsidR="009A3756" w:rsidRPr="0097798E" w:rsidRDefault="009A3756"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97798E" w:rsidRDefault="009A3756" w:rsidP="0097798E">
            <w:pPr>
              <w:autoSpaceDE w:val="0"/>
              <w:autoSpaceDN w:val="0"/>
              <w:adjustRightInd w:val="0"/>
              <w:spacing w:after="0"/>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97798E" w:rsidRDefault="009A3756"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w:t>
            </w:r>
          </w:p>
        </w:tc>
      </w:tr>
      <w:tr w:rsidR="00DB2687" w:rsidRPr="0097798E" w:rsidTr="00EE4102">
        <w:trPr>
          <w:cantSplit/>
          <w:trHeight w:val="537"/>
          <w:tblHeader/>
        </w:trPr>
        <w:tc>
          <w:tcPr>
            <w:tcW w:w="1134" w:type="dxa"/>
            <w:tcBorders>
              <w:top w:val="nil"/>
              <w:left w:val="nil"/>
              <w:right w:val="nil"/>
            </w:tcBorders>
            <w:shd w:val="solid" w:color="000000" w:fill="auto"/>
          </w:tcPr>
          <w:p w:rsidR="00DB2687" w:rsidRPr="0097798E" w:rsidRDefault="00DB2687"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Actual</w:t>
            </w:r>
          </w:p>
          <w:p w:rsidR="00DB2687" w:rsidRPr="0097798E" w:rsidRDefault="00DB2687"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30 Sep</w:t>
            </w:r>
            <w:r w:rsidRPr="00B25383">
              <w:rPr>
                <w:rFonts w:ascii="Calibri" w:eastAsiaTheme="minorEastAsia" w:hAnsi="Calibri" w:cs="Calibri"/>
                <w:i/>
                <w:iCs/>
                <w:color w:val="FFFFFF"/>
                <w:sz w:val="22"/>
                <w:szCs w:val="22"/>
                <w:vertAlign w:val="superscript"/>
                <w:lang w:eastAsia="en-AU"/>
              </w:rPr>
              <w:t>(a)</w:t>
            </w:r>
          </w:p>
        </w:tc>
        <w:tc>
          <w:tcPr>
            <w:tcW w:w="5102" w:type="dxa"/>
            <w:tcBorders>
              <w:top w:val="nil"/>
              <w:left w:val="nil"/>
              <w:right w:val="nil"/>
            </w:tcBorders>
            <w:shd w:val="solid" w:color="000000" w:fill="auto"/>
          </w:tcPr>
          <w:p w:rsidR="00DB2687" w:rsidRPr="0097798E" w:rsidRDefault="00DB2687" w:rsidP="0097798E">
            <w:pPr>
              <w:autoSpaceDE w:val="0"/>
              <w:autoSpaceDN w:val="0"/>
              <w:adjustRightInd w:val="0"/>
              <w:spacing w:after="0"/>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w:t>
            </w:r>
          </w:p>
          <w:p w:rsidR="00DB2687" w:rsidRPr="0097798E" w:rsidRDefault="00DB2687" w:rsidP="0097798E">
            <w:pPr>
              <w:autoSpaceDE w:val="0"/>
              <w:autoSpaceDN w:val="0"/>
              <w:adjustRightInd w:val="0"/>
              <w:spacing w:after="0"/>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97798E" w:rsidRDefault="00DB2687"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Opening</w:t>
            </w:r>
          </w:p>
          <w:p w:rsidR="00DB2687" w:rsidRPr="0097798E" w:rsidRDefault="00DB2687"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tcPr>
          <w:p w:rsidR="00DB2687" w:rsidRPr="0097798E" w:rsidRDefault="00DB2687"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Actual</w:t>
            </w:r>
          </w:p>
          <w:p w:rsidR="00DB2687" w:rsidRPr="0097798E" w:rsidRDefault="00DB2687"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30 Sep</w:t>
            </w:r>
          </w:p>
        </w:tc>
        <w:tc>
          <w:tcPr>
            <w:tcW w:w="1134" w:type="dxa"/>
            <w:tcBorders>
              <w:top w:val="nil"/>
              <w:left w:val="nil"/>
              <w:right w:val="nil"/>
            </w:tcBorders>
            <w:shd w:val="solid" w:color="000000" w:fill="auto"/>
          </w:tcPr>
          <w:p w:rsidR="00DB2687" w:rsidRPr="0097798E" w:rsidRDefault="00DB2687"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Budget</w:t>
            </w:r>
          </w:p>
          <w:p w:rsidR="00DB2687" w:rsidRPr="0097798E" w:rsidRDefault="00DB2687" w:rsidP="0097798E">
            <w:pPr>
              <w:autoSpaceDE w:val="0"/>
              <w:autoSpaceDN w:val="0"/>
              <w:adjustRightInd w:val="0"/>
              <w:spacing w:after="0"/>
              <w:jc w:val="right"/>
              <w:rPr>
                <w:rFonts w:ascii="Calibri" w:eastAsiaTheme="minorEastAsia" w:hAnsi="Calibri" w:cs="Calibri"/>
                <w:i/>
                <w:iCs/>
                <w:color w:val="FFFFFF"/>
                <w:sz w:val="22"/>
                <w:szCs w:val="22"/>
                <w:lang w:eastAsia="en-AU"/>
              </w:rPr>
            </w:pPr>
            <w:r w:rsidRPr="0097798E">
              <w:rPr>
                <w:rFonts w:ascii="Calibri" w:eastAsiaTheme="minorEastAsia" w:hAnsi="Calibri" w:cs="Calibri"/>
                <w:i/>
                <w:iCs/>
                <w:color w:val="FFFFFF"/>
                <w:sz w:val="22"/>
                <w:szCs w:val="22"/>
                <w:lang w:eastAsia="en-AU"/>
              </w:rPr>
              <w:t>30 Jun</w:t>
            </w:r>
          </w:p>
        </w:tc>
      </w:tr>
      <w:tr w:rsidR="009A3756" w:rsidRPr="0097798E" w:rsidTr="009A3756">
        <w:trPr>
          <w:cantSplit/>
        </w:trPr>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1 743</w:t>
            </w:r>
          </w:p>
        </w:tc>
        <w:tc>
          <w:tcPr>
            <w:tcW w:w="5102" w:type="dxa"/>
            <w:tcBorders>
              <w:top w:val="nil"/>
              <w:left w:val="nil"/>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Infrastructure systems</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1 747</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1 866</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1 790</w:t>
            </w:r>
          </w:p>
        </w:tc>
      </w:tr>
      <w:tr w:rsidR="009A3756" w:rsidRPr="0097798E" w:rsidTr="009A3756">
        <w:trPr>
          <w:cantSplit/>
        </w:trPr>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(475)</w:t>
            </w:r>
          </w:p>
        </w:tc>
        <w:tc>
          <w:tcPr>
            <w:tcW w:w="5102" w:type="dxa"/>
            <w:tcBorders>
              <w:top w:val="nil"/>
              <w:left w:val="nil"/>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Accumulated depreciation</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(448)</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(456)</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(476)</w:t>
            </w:r>
          </w:p>
        </w:tc>
      </w:tr>
      <w:tr w:rsidR="009A3756" w:rsidRPr="0097798E" w:rsidTr="009A3756">
        <w:trPr>
          <w:cantSplit/>
        </w:trPr>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1 268</w:t>
            </w:r>
          </w:p>
        </w:tc>
        <w:tc>
          <w:tcPr>
            <w:tcW w:w="5102" w:type="dxa"/>
            <w:tcBorders>
              <w:top w:val="nil"/>
              <w:left w:val="nil"/>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Infrastructure systems (net carrying amount)</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1 299</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1 410</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1 314</w:t>
            </w:r>
          </w:p>
        </w:tc>
      </w:tr>
      <w:tr w:rsidR="009A3756" w:rsidRPr="0097798E" w:rsidTr="009A3756">
        <w:trPr>
          <w:cantSplit/>
        </w:trPr>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5 901</w:t>
            </w:r>
          </w:p>
        </w:tc>
        <w:tc>
          <w:tcPr>
            <w:tcW w:w="5102" w:type="dxa"/>
            <w:tcBorders>
              <w:top w:val="nil"/>
              <w:left w:val="nil"/>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Plant, equipment and vehicles</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5 973</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5 978</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6 442</w:t>
            </w:r>
          </w:p>
        </w:tc>
      </w:tr>
      <w:tr w:rsidR="009A3756" w:rsidRPr="0097798E" w:rsidTr="009A3756">
        <w:trPr>
          <w:cantSplit/>
        </w:trPr>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(3 557)</w:t>
            </w:r>
          </w:p>
        </w:tc>
        <w:tc>
          <w:tcPr>
            <w:tcW w:w="5102" w:type="dxa"/>
            <w:tcBorders>
              <w:top w:val="nil"/>
              <w:left w:val="nil"/>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Accumulated depreciation</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(3 674)</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(3 757)</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(4 207)</w:t>
            </w:r>
          </w:p>
        </w:tc>
      </w:tr>
      <w:tr w:rsidR="009A3756" w:rsidRPr="0097798E" w:rsidTr="009A3756">
        <w:trPr>
          <w:cantSplit/>
        </w:trPr>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2 344</w:t>
            </w:r>
          </w:p>
        </w:tc>
        <w:tc>
          <w:tcPr>
            <w:tcW w:w="5102" w:type="dxa"/>
            <w:tcBorders>
              <w:top w:val="nil"/>
              <w:left w:val="nil"/>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Plant, equipment and vehicles (net carrying amount)</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2 299</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2 222</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2 235</w:t>
            </w:r>
          </w:p>
        </w:tc>
      </w:tr>
      <w:tr w:rsidR="009A3756" w:rsidRPr="0097798E" w:rsidTr="009A3756">
        <w:trPr>
          <w:cantSplit/>
        </w:trPr>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413</w:t>
            </w:r>
          </w:p>
        </w:tc>
        <w:tc>
          <w:tcPr>
            <w:tcW w:w="5102" w:type="dxa"/>
            <w:tcBorders>
              <w:top w:val="nil"/>
              <w:left w:val="nil"/>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Leased plant, equipment and vehicles</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373</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373</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 xml:space="preserve"> 373</w:t>
            </w:r>
          </w:p>
        </w:tc>
      </w:tr>
      <w:tr w:rsidR="009A3756" w:rsidRPr="0097798E" w:rsidTr="009A3756">
        <w:trPr>
          <w:cantSplit/>
        </w:trPr>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(213)</w:t>
            </w:r>
          </w:p>
        </w:tc>
        <w:tc>
          <w:tcPr>
            <w:tcW w:w="5102" w:type="dxa"/>
            <w:tcBorders>
              <w:top w:val="nil"/>
              <w:left w:val="nil"/>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color w:val="000000"/>
                <w:sz w:val="22"/>
                <w:szCs w:val="22"/>
                <w:lang w:eastAsia="en-AU"/>
              </w:rPr>
            </w:pPr>
            <w:r w:rsidRPr="0097798E">
              <w:rPr>
                <w:rFonts w:ascii="Calibri" w:eastAsiaTheme="minorEastAsia" w:hAnsi="Calibri" w:cs="Calibri"/>
                <w:color w:val="000000"/>
                <w:sz w:val="22"/>
                <w:szCs w:val="22"/>
                <w:lang w:eastAsia="en-AU"/>
              </w:rPr>
              <w:t>Accumulated depreciation</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(207)</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(215)</w:t>
            </w:r>
          </w:p>
        </w:tc>
        <w:tc>
          <w:tcPr>
            <w:tcW w:w="1134" w:type="dxa"/>
            <w:tcBorders>
              <w:top w:val="nil"/>
              <w:left w:val="nil"/>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(226)</w:t>
            </w:r>
          </w:p>
        </w:tc>
      </w:tr>
      <w:tr w:rsidR="009A3756" w:rsidRPr="0097798E" w:rsidTr="009A3756">
        <w:trPr>
          <w:cantSplit/>
        </w:trPr>
        <w:tc>
          <w:tcPr>
            <w:tcW w:w="1134" w:type="dxa"/>
            <w:tcBorders>
              <w:top w:val="nil"/>
              <w:left w:val="nil"/>
              <w:bottom w:val="single" w:sz="6" w:space="0" w:color="000000"/>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 xml:space="preserve"> 200</w:t>
            </w:r>
          </w:p>
        </w:tc>
        <w:tc>
          <w:tcPr>
            <w:tcW w:w="5102" w:type="dxa"/>
            <w:tcBorders>
              <w:top w:val="nil"/>
              <w:left w:val="nil"/>
              <w:bottom w:val="single" w:sz="6" w:space="0" w:color="000000"/>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 xml:space="preserve">Leased plant, equipment and vehicles </w:t>
            </w:r>
            <w:r>
              <w:rPr>
                <w:rFonts w:ascii="Calibri" w:eastAsiaTheme="minorEastAsia" w:hAnsi="Calibri" w:cs="Calibri"/>
                <w:b/>
                <w:bCs/>
                <w:color w:val="000000"/>
                <w:sz w:val="22"/>
                <w:szCs w:val="22"/>
                <w:lang w:eastAsia="en-AU"/>
              </w:rPr>
              <w:br/>
            </w:r>
            <w:r w:rsidRPr="0097798E">
              <w:rPr>
                <w:rFonts w:ascii="Calibri" w:eastAsiaTheme="minorEastAsia" w:hAnsi="Calibri" w:cs="Calibri"/>
                <w:b/>
                <w:bCs/>
                <w:color w:val="000000"/>
                <w:sz w:val="22"/>
                <w:szCs w:val="22"/>
                <w:lang w:eastAsia="en-AU"/>
              </w:rPr>
              <w:t>(net carrying amount)</w:t>
            </w:r>
          </w:p>
        </w:tc>
        <w:tc>
          <w:tcPr>
            <w:tcW w:w="1134" w:type="dxa"/>
            <w:tcBorders>
              <w:top w:val="nil"/>
              <w:left w:val="nil"/>
              <w:bottom w:val="single" w:sz="6" w:space="0" w:color="000000"/>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 xml:space="preserve"> 166</w:t>
            </w:r>
          </w:p>
        </w:tc>
        <w:tc>
          <w:tcPr>
            <w:tcW w:w="1134" w:type="dxa"/>
            <w:tcBorders>
              <w:top w:val="nil"/>
              <w:left w:val="nil"/>
              <w:bottom w:val="single" w:sz="6" w:space="0" w:color="000000"/>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 xml:space="preserve"> 158</w:t>
            </w:r>
          </w:p>
        </w:tc>
        <w:tc>
          <w:tcPr>
            <w:tcW w:w="1134" w:type="dxa"/>
            <w:tcBorders>
              <w:top w:val="nil"/>
              <w:left w:val="nil"/>
              <w:bottom w:val="single" w:sz="6" w:space="0" w:color="000000"/>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 xml:space="preserve"> 147</w:t>
            </w:r>
          </w:p>
        </w:tc>
      </w:tr>
      <w:tr w:rsidR="009A3756" w:rsidRPr="0097798E" w:rsidTr="009A3756">
        <w:trPr>
          <w:cantSplit/>
        </w:trPr>
        <w:tc>
          <w:tcPr>
            <w:tcW w:w="1134" w:type="dxa"/>
            <w:tcBorders>
              <w:top w:val="single" w:sz="6" w:space="0" w:color="000000"/>
              <w:left w:val="nil"/>
              <w:bottom w:val="single" w:sz="12" w:space="0" w:color="auto"/>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3 812</w:t>
            </w:r>
          </w:p>
        </w:tc>
        <w:tc>
          <w:tcPr>
            <w:tcW w:w="5102" w:type="dxa"/>
            <w:tcBorders>
              <w:top w:val="single" w:sz="6" w:space="0" w:color="000000"/>
              <w:left w:val="nil"/>
              <w:bottom w:val="single" w:sz="12" w:space="0" w:color="auto"/>
              <w:right w:val="nil"/>
            </w:tcBorders>
            <w:shd w:val="clear" w:color="auto" w:fill="FFFFFF"/>
          </w:tcPr>
          <w:p w:rsidR="009A3756" w:rsidRPr="0097798E" w:rsidRDefault="009A3756" w:rsidP="0097798E">
            <w:pPr>
              <w:autoSpaceDE w:val="0"/>
              <w:autoSpaceDN w:val="0"/>
              <w:adjustRightInd w:val="0"/>
              <w:spacing w:after="0"/>
              <w:ind w:left="340" w:hanging="227"/>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Total plant, equipment, vehicles</w:t>
            </w:r>
            <w:r w:rsidRPr="0097798E">
              <w:rPr>
                <w:rFonts w:ascii="Calibri" w:eastAsiaTheme="minorEastAsia" w:hAnsi="Calibri" w:cs="Calibri"/>
                <w:b/>
                <w:bCs/>
                <w:color w:val="000000"/>
                <w:sz w:val="22"/>
                <w:szCs w:val="22"/>
                <w:lang w:eastAsia="en-AU"/>
              </w:rPr>
              <w:t xml:space="preserve"> and infrastructure systems</w:t>
            </w:r>
          </w:p>
        </w:tc>
        <w:tc>
          <w:tcPr>
            <w:tcW w:w="1134" w:type="dxa"/>
            <w:tcBorders>
              <w:top w:val="single" w:sz="6" w:space="0" w:color="000000"/>
              <w:left w:val="nil"/>
              <w:bottom w:val="single" w:sz="12" w:space="0" w:color="auto"/>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3 764</w:t>
            </w:r>
          </w:p>
        </w:tc>
        <w:tc>
          <w:tcPr>
            <w:tcW w:w="1134" w:type="dxa"/>
            <w:tcBorders>
              <w:top w:val="single" w:sz="6" w:space="0" w:color="000000"/>
              <w:left w:val="nil"/>
              <w:bottom w:val="single" w:sz="12" w:space="0" w:color="auto"/>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3 790</w:t>
            </w:r>
          </w:p>
        </w:tc>
        <w:tc>
          <w:tcPr>
            <w:tcW w:w="1134" w:type="dxa"/>
            <w:tcBorders>
              <w:top w:val="single" w:sz="6" w:space="0" w:color="000000"/>
              <w:left w:val="nil"/>
              <w:bottom w:val="single" w:sz="12" w:space="0" w:color="auto"/>
              <w:right w:val="nil"/>
            </w:tcBorders>
            <w:shd w:val="clear" w:color="auto" w:fill="FFFFFF"/>
          </w:tcPr>
          <w:p w:rsidR="009A3756" w:rsidRPr="0097798E" w:rsidRDefault="009A3756" w:rsidP="0097798E">
            <w:pPr>
              <w:autoSpaceDE w:val="0"/>
              <w:autoSpaceDN w:val="0"/>
              <w:adjustRightInd w:val="0"/>
              <w:spacing w:after="0"/>
              <w:jc w:val="right"/>
              <w:rPr>
                <w:rFonts w:ascii="Calibri" w:eastAsiaTheme="minorEastAsia" w:hAnsi="Calibri" w:cs="Calibri"/>
                <w:b/>
                <w:bCs/>
                <w:color w:val="000000"/>
                <w:sz w:val="22"/>
                <w:szCs w:val="22"/>
                <w:lang w:eastAsia="en-AU"/>
              </w:rPr>
            </w:pPr>
            <w:r w:rsidRPr="0097798E">
              <w:rPr>
                <w:rFonts w:ascii="Calibri" w:eastAsiaTheme="minorEastAsia" w:hAnsi="Calibri" w:cs="Calibri"/>
                <w:b/>
                <w:bCs/>
                <w:color w:val="000000"/>
                <w:sz w:val="22"/>
                <w:szCs w:val="22"/>
                <w:lang w:eastAsia="en-AU"/>
              </w:rPr>
              <w:t>3 696</w:t>
            </w:r>
          </w:p>
        </w:tc>
      </w:tr>
      <w:tr w:rsidR="009A3756" w:rsidRPr="0097798E" w:rsidTr="009A3756">
        <w:trPr>
          <w:cantSplit/>
        </w:trPr>
        <w:tc>
          <w:tcPr>
            <w:tcW w:w="9638" w:type="dxa"/>
            <w:gridSpan w:val="5"/>
            <w:tcBorders>
              <w:top w:val="single" w:sz="12" w:space="0" w:color="auto"/>
              <w:left w:val="nil"/>
              <w:bottom w:val="nil"/>
              <w:right w:val="nil"/>
            </w:tcBorders>
            <w:shd w:val="clear" w:color="auto" w:fill="auto"/>
          </w:tcPr>
          <w:p w:rsidR="009A3756" w:rsidRPr="0097798E" w:rsidRDefault="009A3756" w:rsidP="0097798E">
            <w:pPr>
              <w:tabs>
                <w:tab w:val="left" w:pos="454"/>
              </w:tabs>
              <w:autoSpaceDE w:val="0"/>
              <w:autoSpaceDN w:val="0"/>
              <w:adjustRightInd w:val="0"/>
              <w:spacing w:after="0"/>
              <w:rPr>
                <w:rFonts w:ascii="Calibri" w:eastAsiaTheme="minorEastAsia" w:hAnsi="Calibri" w:cs="Calibri"/>
                <w:i/>
                <w:iCs/>
                <w:color w:val="000000"/>
                <w:sz w:val="16"/>
                <w:szCs w:val="22"/>
                <w:lang w:eastAsia="en-AU"/>
              </w:rPr>
            </w:pPr>
            <w:r>
              <w:rPr>
                <w:rFonts w:ascii="Calibri" w:eastAsiaTheme="minorEastAsia" w:hAnsi="Calibri" w:cs="Calibri"/>
                <w:i/>
                <w:iCs/>
                <w:color w:val="000000"/>
                <w:sz w:val="16"/>
                <w:szCs w:val="22"/>
                <w:lang w:eastAsia="en-AU"/>
              </w:rPr>
              <w:t>Note:</w:t>
            </w:r>
          </w:p>
        </w:tc>
      </w:tr>
      <w:tr w:rsidR="009A3756" w:rsidRPr="0097798E" w:rsidTr="009A3756">
        <w:trPr>
          <w:cantSplit/>
        </w:trPr>
        <w:tc>
          <w:tcPr>
            <w:tcW w:w="9638" w:type="dxa"/>
            <w:gridSpan w:val="5"/>
            <w:tcBorders>
              <w:top w:val="nil"/>
              <w:left w:val="nil"/>
              <w:bottom w:val="nil"/>
              <w:right w:val="nil"/>
            </w:tcBorders>
          </w:tcPr>
          <w:p w:rsidR="009A3756" w:rsidRPr="0097798E" w:rsidRDefault="009A3756" w:rsidP="0097798E">
            <w:pPr>
              <w:tabs>
                <w:tab w:val="left" w:pos="454"/>
              </w:tabs>
              <w:autoSpaceDE w:val="0"/>
              <w:autoSpaceDN w:val="0"/>
              <w:adjustRightInd w:val="0"/>
              <w:spacing w:after="0"/>
              <w:rPr>
                <w:rFonts w:ascii="Calibri" w:eastAsiaTheme="minorEastAsia" w:hAnsi="Calibri" w:cs="Calibri"/>
                <w:i/>
                <w:iCs/>
                <w:color w:val="000000"/>
                <w:sz w:val="16"/>
                <w:szCs w:val="22"/>
                <w:lang w:eastAsia="en-AU"/>
              </w:rPr>
            </w:pPr>
            <w:r>
              <w:rPr>
                <w:rFonts w:ascii="Calibri" w:eastAsiaTheme="minorEastAsia" w:hAnsi="Calibri" w:cs="Calibri"/>
                <w:i/>
                <w:iCs/>
                <w:color w:val="000000"/>
                <w:sz w:val="16"/>
                <w:szCs w:val="22"/>
                <w:lang w:eastAsia="en-AU"/>
              </w:rPr>
              <w:t>(a)</w:t>
            </w:r>
            <w:r>
              <w:rPr>
                <w:rFonts w:ascii="Calibri" w:eastAsiaTheme="minorEastAsia" w:hAnsi="Calibri" w:cs="Calibri"/>
                <w:i/>
                <w:iCs/>
                <w:color w:val="000000"/>
                <w:sz w:val="16"/>
                <w:szCs w:val="22"/>
                <w:lang w:eastAsia="en-AU"/>
              </w:rPr>
              <w:tab/>
            </w:r>
            <w:r w:rsidRPr="00B25383">
              <w:rPr>
                <w:rFonts w:ascii="Calibri" w:eastAsiaTheme="minorEastAsia" w:hAnsi="Calibri" w:cs="Calibri"/>
                <w:i/>
                <w:iCs/>
                <w:color w:val="000000"/>
                <w:sz w:val="16"/>
                <w:szCs w:val="22"/>
                <w:lang w:eastAsia="en-AU"/>
              </w:rPr>
              <w:t>September 2014-15 comparative figures have been restated to reflect more current information</w:t>
            </w:r>
          </w:p>
        </w:tc>
      </w:tr>
    </w:tbl>
    <w:p w:rsidR="0097798E" w:rsidRDefault="0097798E" w:rsidP="00283E0D"/>
    <w:p w:rsidR="00BF1FB8" w:rsidRDefault="00BF1FB8" w:rsidP="00283E0D">
      <w:pPr>
        <w:rPr>
          <w:rFonts w:ascii="Times New Roman" w:hAnsi="Times New Roman"/>
          <w:sz w:val="20"/>
          <w:lang w:eastAsia="en-AU"/>
        </w:rPr>
      </w:pPr>
    </w:p>
    <w:p w:rsidR="009A3756" w:rsidRDefault="009A3756" w:rsidP="009A3756">
      <w:pPr>
        <w:pStyle w:val="Tableheading"/>
      </w:pPr>
      <w:r w:rsidRPr="009A3756">
        <w:t>(d)</w:t>
      </w:r>
      <w:r w:rsidRPr="009A3756">
        <w:tab/>
        <w:t>Roads, road infr</w:t>
      </w:r>
      <w:r>
        <w:t>astructure and earthworks</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BF1FB8" w:rsidTr="009A3756">
        <w:trPr>
          <w:cantSplit/>
          <w:tblHeader/>
        </w:trPr>
        <w:tc>
          <w:tcPr>
            <w:tcW w:w="9638" w:type="dxa"/>
            <w:gridSpan w:val="5"/>
            <w:tcBorders>
              <w:top w:val="nil"/>
              <w:left w:val="nil"/>
              <w:bottom w:val="nil"/>
              <w:right w:val="nil"/>
            </w:tcBorders>
          </w:tcPr>
          <w:p w:rsidR="009A3756" w:rsidRPr="00BF1FB8" w:rsidRDefault="009A3756" w:rsidP="00BF1FB8">
            <w:pPr>
              <w:pStyle w:val="million"/>
              <w:rPr>
                <w:rFonts w:eastAsiaTheme="minorEastAsia"/>
                <w:lang w:eastAsia="en-AU"/>
              </w:rPr>
            </w:pPr>
            <w:r w:rsidRPr="00BF1FB8">
              <w:rPr>
                <w:rFonts w:eastAsiaTheme="minorEastAsia"/>
                <w:lang w:eastAsia="en-AU"/>
              </w:rPr>
              <w:t>($ million)</w:t>
            </w:r>
          </w:p>
        </w:tc>
      </w:tr>
      <w:tr w:rsidR="009A3756" w:rsidRPr="00BF1FB8" w:rsidTr="009A3756">
        <w:trPr>
          <w:cantSplit/>
          <w:tblHeader/>
        </w:trPr>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r>
      <w:tr w:rsidR="00DB2687" w:rsidRPr="00BF1FB8" w:rsidTr="00281B33">
        <w:trPr>
          <w:cantSplit/>
          <w:tblHeader/>
        </w:trPr>
        <w:tc>
          <w:tcPr>
            <w:tcW w:w="1134" w:type="dxa"/>
            <w:vMerge w:val="restart"/>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5102" w:type="dxa"/>
            <w:tcBorders>
              <w:top w:val="nil"/>
              <w:left w:val="nil"/>
              <w:bottom w:val="nil"/>
              <w:right w:val="nil"/>
            </w:tcBorders>
            <w:shd w:val="solid" w:color="000000" w:fill="auto"/>
          </w:tcPr>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vMerge w:val="restart"/>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Opening</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1 Jul</w:t>
            </w:r>
          </w:p>
        </w:tc>
        <w:tc>
          <w:tcPr>
            <w:tcW w:w="1134" w:type="dxa"/>
            <w:vMerge w:val="restart"/>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1134" w:type="dxa"/>
            <w:vMerge w:val="restart"/>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Budget</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Jun</w:t>
            </w:r>
          </w:p>
        </w:tc>
      </w:tr>
      <w:tr w:rsidR="00DB2687" w:rsidRPr="00BF1FB8" w:rsidTr="00281B33">
        <w:trPr>
          <w:cantSplit/>
          <w:tblHeader/>
        </w:trPr>
        <w:tc>
          <w:tcPr>
            <w:tcW w:w="1134" w:type="dxa"/>
            <w:vMerge/>
            <w:tcBorders>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p>
        </w:tc>
        <w:tc>
          <w:tcPr>
            <w:tcW w:w="5102" w:type="dxa"/>
            <w:tcBorders>
              <w:top w:val="nil"/>
              <w:left w:val="nil"/>
              <w:right w:val="nil"/>
            </w:tcBorders>
            <w:shd w:val="solid" w:color="000000" w:fill="auto"/>
          </w:tcPr>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vMerge/>
            <w:tcBorders>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p>
        </w:tc>
        <w:tc>
          <w:tcPr>
            <w:tcW w:w="1134" w:type="dxa"/>
            <w:vMerge/>
            <w:tcBorders>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p>
        </w:tc>
        <w:tc>
          <w:tcPr>
            <w:tcW w:w="1134" w:type="dxa"/>
            <w:vMerge/>
            <w:tcBorders>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38 005</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Roads and road</w:t>
            </w:r>
            <w:r w:rsidRPr="00BF1FB8">
              <w:rPr>
                <w:rFonts w:ascii="Calibri" w:eastAsiaTheme="minorEastAsia" w:hAnsi="Calibri" w:cs="Calibri"/>
                <w:color w:val="000000"/>
                <w:sz w:val="22"/>
                <w:szCs w:val="22"/>
                <w:lang w:eastAsia="en-AU"/>
              </w:rPr>
              <w:t xml:space="preserve"> infrastructure</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39 568</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39 672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40 670</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(15 934)</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Accumulated depreciation</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(18 084)</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(18 232)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(18 730)</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22 071</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Roads and road</w:t>
            </w:r>
            <w:r w:rsidRPr="00BF1FB8">
              <w:rPr>
                <w:rFonts w:ascii="Calibri" w:eastAsiaTheme="minorEastAsia" w:hAnsi="Calibri" w:cs="Calibri"/>
                <w:b/>
                <w:bCs/>
                <w:color w:val="000000"/>
                <w:sz w:val="22"/>
                <w:szCs w:val="22"/>
                <w:lang w:eastAsia="en-AU"/>
              </w:rPr>
              <w:t xml:space="preserve"> infrastructure (net carrying amount)</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21 485</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21 441</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21 941</w:t>
            </w:r>
          </w:p>
        </w:tc>
      </w:tr>
      <w:tr w:rsidR="009A3756" w:rsidRPr="00BF1FB8" w:rsidTr="009A3756">
        <w:trPr>
          <w:cantSplit/>
        </w:trPr>
        <w:tc>
          <w:tcPr>
            <w:tcW w:w="1134" w:type="dxa"/>
            <w:tcBorders>
              <w:top w:val="nil"/>
              <w:left w:val="nil"/>
              <w:bottom w:val="single" w:sz="6" w:space="0" w:color="000000"/>
              <w:right w:val="nil"/>
            </w:tcBorders>
            <w:shd w:val="clear" w:color="auto" w:fill="FFFFFF"/>
          </w:tcPr>
          <w:p w:rsidR="009A3756" w:rsidRPr="0017705A" w:rsidRDefault="009A3756" w:rsidP="00BF1FB8">
            <w:pPr>
              <w:autoSpaceDE w:val="0"/>
              <w:autoSpaceDN w:val="0"/>
              <w:adjustRightInd w:val="0"/>
              <w:spacing w:after="0"/>
              <w:jc w:val="right"/>
              <w:rPr>
                <w:rFonts w:ascii="Calibri" w:eastAsiaTheme="minorEastAsia" w:hAnsi="Calibri" w:cs="Calibri"/>
                <w:b/>
                <w:color w:val="000000"/>
                <w:sz w:val="22"/>
                <w:szCs w:val="22"/>
                <w:lang w:eastAsia="en-AU"/>
              </w:rPr>
            </w:pPr>
            <w:r w:rsidRPr="0017705A">
              <w:rPr>
                <w:rFonts w:ascii="Calibri" w:eastAsiaTheme="minorEastAsia" w:hAnsi="Calibri" w:cs="Calibri"/>
                <w:b/>
                <w:color w:val="000000"/>
                <w:sz w:val="22"/>
                <w:szCs w:val="22"/>
                <w:lang w:eastAsia="en-AU"/>
              </w:rPr>
              <w:t>7 685</w:t>
            </w:r>
          </w:p>
        </w:tc>
        <w:tc>
          <w:tcPr>
            <w:tcW w:w="5102" w:type="dxa"/>
            <w:tcBorders>
              <w:top w:val="nil"/>
              <w:left w:val="nil"/>
              <w:bottom w:val="single" w:sz="6" w:space="0" w:color="000000"/>
              <w:right w:val="nil"/>
            </w:tcBorders>
            <w:shd w:val="clear" w:color="auto" w:fill="FFFFFF"/>
          </w:tcPr>
          <w:p w:rsidR="009A3756" w:rsidRPr="0017705A" w:rsidRDefault="009A3756" w:rsidP="00BF1FB8">
            <w:pPr>
              <w:autoSpaceDE w:val="0"/>
              <w:autoSpaceDN w:val="0"/>
              <w:adjustRightInd w:val="0"/>
              <w:spacing w:after="0"/>
              <w:ind w:left="340" w:hanging="227"/>
              <w:rPr>
                <w:rFonts w:ascii="Calibri" w:eastAsiaTheme="minorEastAsia" w:hAnsi="Calibri" w:cs="Calibri"/>
                <w:b/>
                <w:color w:val="000000"/>
                <w:sz w:val="22"/>
                <w:szCs w:val="22"/>
                <w:lang w:eastAsia="en-AU"/>
              </w:rPr>
            </w:pPr>
            <w:r w:rsidRPr="0017705A">
              <w:rPr>
                <w:rFonts w:ascii="Calibri" w:eastAsiaTheme="minorEastAsia" w:hAnsi="Calibri" w:cs="Calibri"/>
                <w:b/>
                <w:color w:val="000000"/>
                <w:sz w:val="22"/>
                <w:szCs w:val="22"/>
                <w:lang w:eastAsia="en-AU"/>
              </w:rPr>
              <w:t>Earthworks</w:t>
            </w:r>
          </w:p>
        </w:tc>
        <w:tc>
          <w:tcPr>
            <w:tcW w:w="1134" w:type="dxa"/>
            <w:tcBorders>
              <w:top w:val="nil"/>
              <w:left w:val="nil"/>
              <w:bottom w:val="single" w:sz="6" w:space="0" w:color="000000"/>
              <w:right w:val="nil"/>
            </w:tcBorders>
            <w:shd w:val="clear" w:color="auto" w:fill="FFFFFF"/>
          </w:tcPr>
          <w:p w:rsidR="009A3756" w:rsidRPr="0017705A" w:rsidRDefault="009A3756" w:rsidP="00BF1FB8">
            <w:pPr>
              <w:autoSpaceDE w:val="0"/>
              <w:autoSpaceDN w:val="0"/>
              <w:adjustRightInd w:val="0"/>
              <w:spacing w:after="0"/>
              <w:jc w:val="right"/>
              <w:rPr>
                <w:rFonts w:ascii="Calibri" w:eastAsiaTheme="minorEastAsia" w:hAnsi="Calibri" w:cs="Calibri"/>
                <w:b/>
                <w:color w:val="000000"/>
                <w:sz w:val="22"/>
                <w:szCs w:val="22"/>
                <w:lang w:eastAsia="en-AU"/>
              </w:rPr>
            </w:pPr>
            <w:r w:rsidRPr="0017705A">
              <w:rPr>
                <w:rFonts w:ascii="Calibri" w:eastAsiaTheme="minorEastAsia" w:hAnsi="Calibri" w:cs="Calibri"/>
                <w:b/>
                <w:color w:val="000000"/>
                <w:sz w:val="22"/>
                <w:szCs w:val="22"/>
                <w:lang w:eastAsia="en-AU"/>
              </w:rPr>
              <w:t>7 690</w:t>
            </w:r>
          </w:p>
        </w:tc>
        <w:tc>
          <w:tcPr>
            <w:tcW w:w="1134" w:type="dxa"/>
            <w:tcBorders>
              <w:top w:val="nil"/>
              <w:left w:val="nil"/>
              <w:bottom w:val="single" w:sz="6" w:space="0" w:color="000000"/>
              <w:right w:val="nil"/>
            </w:tcBorders>
            <w:shd w:val="clear" w:color="auto" w:fill="FFFFFF"/>
          </w:tcPr>
          <w:p w:rsidR="009A3756" w:rsidRPr="0017705A" w:rsidRDefault="009A3756" w:rsidP="00BF1FB8">
            <w:pPr>
              <w:autoSpaceDE w:val="0"/>
              <w:autoSpaceDN w:val="0"/>
              <w:adjustRightInd w:val="0"/>
              <w:spacing w:after="0"/>
              <w:jc w:val="right"/>
              <w:rPr>
                <w:rFonts w:ascii="Calibri" w:eastAsiaTheme="minorEastAsia" w:hAnsi="Calibri" w:cs="Calibri"/>
                <w:b/>
                <w:color w:val="000000"/>
                <w:sz w:val="22"/>
                <w:szCs w:val="22"/>
                <w:lang w:eastAsia="en-AU"/>
              </w:rPr>
            </w:pPr>
            <w:r w:rsidRPr="0017705A">
              <w:rPr>
                <w:rFonts w:ascii="Calibri" w:eastAsiaTheme="minorEastAsia" w:hAnsi="Calibri" w:cs="Calibri"/>
                <w:b/>
                <w:color w:val="000000"/>
                <w:sz w:val="22"/>
                <w:szCs w:val="22"/>
                <w:lang w:eastAsia="en-AU"/>
              </w:rPr>
              <w:t>7 690</w:t>
            </w:r>
          </w:p>
        </w:tc>
        <w:tc>
          <w:tcPr>
            <w:tcW w:w="1134" w:type="dxa"/>
            <w:tcBorders>
              <w:top w:val="nil"/>
              <w:left w:val="nil"/>
              <w:bottom w:val="single" w:sz="6" w:space="0" w:color="000000"/>
              <w:right w:val="nil"/>
            </w:tcBorders>
            <w:shd w:val="clear" w:color="auto" w:fill="FFFFFF"/>
          </w:tcPr>
          <w:p w:rsidR="009A3756" w:rsidRPr="0017705A" w:rsidRDefault="009A3756" w:rsidP="00BF1FB8">
            <w:pPr>
              <w:autoSpaceDE w:val="0"/>
              <w:autoSpaceDN w:val="0"/>
              <w:adjustRightInd w:val="0"/>
              <w:spacing w:after="0"/>
              <w:jc w:val="right"/>
              <w:rPr>
                <w:rFonts w:ascii="Calibri" w:eastAsiaTheme="minorEastAsia" w:hAnsi="Calibri" w:cs="Calibri"/>
                <w:b/>
                <w:color w:val="000000"/>
                <w:sz w:val="22"/>
                <w:szCs w:val="22"/>
                <w:lang w:eastAsia="en-AU"/>
              </w:rPr>
            </w:pPr>
            <w:r w:rsidRPr="0017705A">
              <w:rPr>
                <w:rFonts w:ascii="Calibri" w:eastAsiaTheme="minorEastAsia" w:hAnsi="Calibri" w:cs="Calibri"/>
                <w:b/>
                <w:color w:val="000000"/>
                <w:sz w:val="22"/>
                <w:szCs w:val="22"/>
                <w:lang w:eastAsia="en-AU"/>
              </w:rPr>
              <w:t>7 831</w:t>
            </w:r>
          </w:p>
        </w:tc>
      </w:tr>
      <w:tr w:rsidR="009A3756" w:rsidRPr="00BF1FB8"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29 756</w:t>
            </w:r>
          </w:p>
        </w:tc>
        <w:tc>
          <w:tcPr>
            <w:tcW w:w="5102" w:type="dxa"/>
            <w:tcBorders>
              <w:top w:val="single" w:sz="6" w:space="0" w:color="000000"/>
              <w:left w:val="nil"/>
              <w:bottom w:val="single" w:sz="12" w:space="0" w:color="000000"/>
              <w:right w:val="nil"/>
            </w:tcBorders>
            <w:shd w:val="clear" w:color="auto" w:fill="FFFFFF"/>
          </w:tcPr>
          <w:p w:rsidR="009A3756" w:rsidRPr="00BF1FB8" w:rsidRDefault="009A3756" w:rsidP="007D2FDF">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Total</w:t>
            </w:r>
            <w:r>
              <w:rPr>
                <w:rFonts w:ascii="Calibri" w:eastAsiaTheme="minorEastAsia" w:hAnsi="Calibri" w:cs="Calibri"/>
                <w:b/>
                <w:bCs/>
                <w:color w:val="000000"/>
                <w:sz w:val="22"/>
                <w:szCs w:val="22"/>
                <w:lang w:eastAsia="en-AU"/>
              </w:rPr>
              <w:t xml:space="preserve"> roads,</w:t>
            </w:r>
            <w:r w:rsidRPr="00BF1FB8">
              <w:rPr>
                <w:rFonts w:ascii="Calibri" w:eastAsiaTheme="minorEastAsia" w:hAnsi="Calibri" w:cs="Calibri"/>
                <w:b/>
                <w:bCs/>
                <w:color w:val="000000"/>
                <w:sz w:val="22"/>
                <w:szCs w:val="22"/>
                <w:lang w:eastAsia="en-AU"/>
              </w:rPr>
              <w:t xml:space="preserve"> road </w:t>
            </w:r>
            <w:r>
              <w:rPr>
                <w:rFonts w:ascii="Calibri" w:eastAsiaTheme="minorEastAsia" w:hAnsi="Calibri" w:cs="Calibri"/>
                <w:b/>
                <w:bCs/>
                <w:color w:val="000000"/>
                <w:sz w:val="22"/>
                <w:szCs w:val="22"/>
                <w:lang w:eastAsia="en-AU"/>
              </w:rPr>
              <w:t>infrastructure</w:t>
            </w:r>
            <w:r w:rsidRPr="00BF1FB8">
              <w:rPr>
                <w:rFonts w:ascii="Calibri" w:eastAsiaTheme="minorEastAsia" w:hAnsi="Calibri" w:cs="Calibri"/>
                <w:b/>
                <w:bCs/>
                <w:color w:val="000000"/>
                <w:sz w:val="22"/>
                <w:szCs w:val="22"/>
                <w:lang w:eastAsia="en-AU"/>
              </w:rPr>
              <w:t xml:space="preserve"> and earthworks</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29 175</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29 130</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29 772</w:t>
            </w:r>
          </w:p>
        </w:tc>
      </w:tr>
    </w:tbl>
    <w:p w:rsidR="00BF1FB8" w:rsidRDefault="00BF1FB8" w:rsidP="00283E0D"/>
    <w:p w:rsidR="00BF1FB8" w:rsidRDefault="00BF1FB8" w:rsidP="00283E0D">
      <w:pPr>
        <w:rPr>
          <w:rFonts w:ascii="Times New Roman" w:hAnsi="Times New Roman"/>
          <w:sz w:val="20"/>
          <w:lang w:eastAsia="en-AU"/>
        </w:rPr>
      </w:pPr>
    </w:p>
    <w:p w:rsidR="009A3756" w:rsidRDefault="009A3756" w:rsidP="009A3756">
      <w:pPr>
        <w:pStyle w:val="Tableheading"/>
      </w:pPr>
      <w:r>
        <w:t>(e)</w:t>
      </w:r>
      <w:r>
        <w:tab/>
        <w:t>Cultural assets</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BF1FB8" w:rsidTr="009A3756">
        <w:trPr>
          <w:cantSplit/>
          <w:tblHeader/>
        </w:trPr>
        <w:tc>
          <w:tcPr>
            <w:tcW w:w="9638" w:type="dxa"/>
            <w:gridSpan w:val="5"/>
            <w:tcBorders>
              <w:top w:val="nil"/>
              <w:left w:val="nil"/>
              <w:bottom w:val="nil"/>
              <w:right w:val="nil"/>
            </w:tcBorders>
          </w:tcPr>
          <w:p w:rsidR="009A3756" w:rsidRPr="00BF1FB8" w:rsidRDefault="009A3756" w:rsidP="00BF1FB8">
            <w:pPr>
              <w:pStyle w:val="million"/>
              <w:rPr>
                <w:rFonts w:eastAsiaTheme="minorEastAsia"/>
                <w:lang w:eastAsia="en-AU"/>
              </w:rPr>
            </w:pPr>
            <w:r w:rsidRPr="00BF1FB8">
              <w:rPr>
                <w:rFonts w:eastAsiaTheme="minorEastAsia"/>
                <w:lang w:eastAsia="en-AU"/>
              </w:rPr>
              <w:t>($ million)</w:t>
            </w:r>
          </w:p>
        </w:tc>
      </w:tr>
      <w:tr w:rsidR="009A3756" w:rsidRPr="00BF1FB8" w:rsidTr="009A3756">
        <w:trPr>
          <w:cantSplit/>
          <w:tblHeader/>
        </w:trPr>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r>
      <w:tr w:rsidR="00DB2687" w:rsidRPr="00BF1FB8" w:rsidTr="00A4275E">
        <w:trPr>
          <w:cantSplit/>
          <w:tblHeader/>
        </w:trPr>
        <w:tc>
          <w:tcPr>
            <w:tcW w:w="1134" w:type="dxa"/>
            <w:vMerge w:val="restart"/>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5102" w:type="dxa"/>
            <w:tcBorders>
              <w:top w:val="nil"/>
              <w:left w:val="nil"/>
              <w:bottom w:val="nil"/>
              <w:right w:val="nil"/>
            </w:tcBorders>
            <w:shd w:val="solid" w:color="000000" w:fill="auto"/>
          </w:tcPr>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vMerge w:val="restart"/>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Opening</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1 Jul</w:t>
            </w:r>
          </w:p>
        </w:tc>
        <w:tc>
          <w:tcPr>
            <w:tcW w:w="1134" w:type="dxa"/>
            <w:vMerge w:val="restart"/>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1134" w:type="dxa"/>
            <w:vMerge w:val="restart"/>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Budget</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Jun</w:t>
            </w:r>
          </w:p>
        </w:tc>
      </w:tr>
      <w:tr w:rsidR="00DB2687" w:rsidRPr="00BF1FB8" w:rsidTr="00A4275E">
        <w:trPr>
          <w:cantSplit/>
          <w:tblHeader/>
        </w:trPr>
        <w:tc>
          <w:tcPr>
            <w:tcW w:w="1134" w:type="dxa"/>
            <w:vMerge/>
            <w:tcBorders>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p>
        </w:tc>
        <w:tc>
          <w:tcPr>
            <w:tcW w:w="5102" w:type="dxa"/>
            <w:tcBorders>
              <w:top w:val="nil"/>
              <w:left w:val="nil"/>
              <w:right w:val="nil"/>
            </w:tcBorders>
            <w:shd w:val="solid" w:color="000000" w:fill="auto"/>
          </w:tcPr>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vMerge/>
            <w:tcBorders>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p>
        </w:tc>
        <w:tc>
          <w:tcPr>
            <w:tcW w:w="1134" w:type="dxa"/>
            <w:vMerge/>
            <w:tcBorders>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p>
        </w:tc>
        <w:tc>
          <w:tcPr>
            <w:tcW w:w="1134" w:type="dxa"/>
            <w:vMerge/>
            <w:tcBorders>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5 614</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Cultural assets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5 633</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5 636</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5 652</w:t>
            </w:r>
          </w:p>
        </w:tc>
      </w:tr>
      <w:tr w:rsidR="009A3756" w:rsidRPr="00BF1FB8" w:rsidTr="009A3756">
        <w:trPr>
          <w:cantSplit/>
        </w:trPr>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(126)</w:t>
            </w:r>
          </w:p>
        </w:tc>
        <w:tc>
          <w:tcPr>
            <w:tcW w:w="5102"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Accumulated depreciation</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(137)</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(139)</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(146)</w:t>
            </w:r>
          </w:p>
        </w:tc>
      </w:tr>
      <w:tr w:rsidR="009A3756" w:rsidRPr="00BF1FB8"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5 488</w:t>
            </w:r>
          </w:p>
        </w:tc>
        <w:tc>
          <w:tcPr>
            <w:tcW w:w="5102"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Total cultural assets</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5 496</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5 497</w:t>
            </w:r>
          </w:p>
        </w:tc>
        <w:tc>
          <w:tcPr>
            <w:tcW w:w="1134" w:type="dxa"/>
            <w:tcBorders>
              <w:top w:val="single" w:sz="6" w:space="0" w:color="000000"/>
              <w:left w:val="nil"/>
              <w:bottom w:val="single" w:sz="12"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5 506</w:t>
            </w:r>
          </w:p>
        </w:tc>
      </w:tr>
    </w:tbl>
    <w:p w:rsidR="00283E0D" w:rsidRDefault="00283E0D" w:rsidP="00283E0D"/>
    <w:p w:rsidR="00BF1FB8" w:rsidRDefault="00BF1FB8" w:rsidP="007A0F9E">
      <w:pPr>
        <w:rPr>
          <w:rFonts w:ascii="Times New Roman" w:hAnsi="Times New Roman"/>
          <w:sz w:val="20"/>
          <w:lang w:eastAsia="en-AU"/>
        </w:rPr>
      </w:pPr>
    </w:p>
    <w:p w:rsidR="00AD7DCB" w:rsidRDefault="00AD7DCB">
      <w:r>
        <w:rPr>
          <w:b/>
        </w:rPr>
        <w:br w:type="page"/>
      </w:r>
    </w:p>
    <w:p w:rsidR="009A3756" w:rsidRDefault="009A3756" w:rsidP="009A3756">
      <w:pPr>
        <w:pStyle w:val="Heading2NotesQtrly"/>
      </w:pPr>
      <w:bookmarkStart w:id="24" w:name="_Toc435107446"/>
      <w:r w:rsidRPr="009A3756">
        <w:lastRenderedPageBreak/>
        <w:t>Note 14:</w:t>
      </w:r>
      <w:r w:rsidRPr="009A3756">
        <w:tab/>
        <w:t>O</w:t>
      </w:r>
      <w:r>
        <w:t>ther non-financial assets</w:t>
      </w:r>
      <w:bookmarkEnd w:id="24"/>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BF1FB8" w:rsidTr="009A3756">
        <w:trPr>
          <w:cantSplit/>
          <w:tblHeader/>
        </w:trPr>
        <w:tc>
          <w:tcPr>
            <w:tcW w:w="9638" w:type="dxa"/>
            <w:gridSpan w:val="5"/>
            <w:tcBorders>
              <w:top w:val="nil"/>
              <w:left w:val="nil"/>
              <w:bottom w:val="nil"/>
              <w:right w:val="nil"/>
            </w:tcBorders>
          </w:tcPr>
          <w:p w:rsidR="009A3756" w:rsidRPr="00BF1FB8" w:rsidRDefault="009A3756" w:rsidP="009A3756">
            <w:pPr>
              <w:pStyle w:val="million"/>
              <w:rPr>
                <w:rFonts w:eastAsiaTheme="minorEastAsia"/>
                <w:lang w:eastAsia="en-AU"/>
              </w:rPr>
            </w:pPr>
            <w:r w:rsidRPr="00BF1FB8">
              <w:rPr>
                <w:rFonts w:eastAsiaTheme="minorEastAsia"/>
                <w:lang w:eastAsia="en-AU"/>
              </w:rPr>
              <w:t>($ million)</w:t>
            </w:r>
          </w:p>
        </w:tc>
      </w:tr>
      <w:tr w:rsidR="009A3756" w:rsidRPr="00BF1FB8" w:rsidTr="009A3756">
        <w:trPr>
          <w:cantSplit/>
          <w:tblHeader/>
        </w:trPr>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r>
      <w:tr w:rsidR="00DB2687" w:rsidRPr="00BF1FB8" w:rsidTr="0027207D">
        <w:trPr>
          <w:cantSplit/>
          <w:trHeight w:val="537"/>
          <w:tblHeader/>
        </w:trPr>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r w:rsidRPr="00BF1FB8">
              <w:rPr>
                <w:rFonts w:ascii="Calibri" w:eastAsiaTheme="minorEastAsia" w:hAnsi="Calibri" w:cs="Calibri"/>
                <w:i/>
                <w:iCs/>
                <w:color w:val="FFFFFF"/>
                <w:sz w:val="22"/>
                <w:szCs w:val="22"/>
                <w:vertAlign w:val="superscript"/>
                <w:lang w:eastAsia="en-AU"/>
              </w:rPr>
              <w:t>(a)</w:t>
            </w:r>
          </w:p>
        </w:tc>
        <w:tc>
          <w:tcPr>
            <w:tcW w:w="5102" w:type="dxa"/>
            <w:tcBorders>
              <w:top w:val="nil"/>
              <w:left w:val="nil"/>
              <w:right w:val="nil"/>
            </w:tcBorders>
            <w:shd w:val="solid" w:color="000000" w:fill="auto"/>
          </w:tcPr>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p w:rsidR="00DB2687" w:rsidRPr="00BF1FB8" w:rsidRDefault="00DB2687" w:rsidP="00BF1FB8">
            <w:pPr>
              <w:autoSpaceDE w:val="0"/>
              <w:autoSpaceDN w:val="0"/>
              <w:adjustRightInd w:val="0"/>
              <w:spacing w:after="0"/>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Opening</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Actual</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Sep</w:t>
            </w:r>
          </w:p>
        </w:tc>
        <w:tc>
          <w:tcPr>
            <w:tcW w:w="1134" w:type="dxa"/>
            <w:tcBorders>
              <w:top w:val="nil"/>
              <w:left w:val="nil"/>
              <w:right w:val="nil"/>
            </w:tcBorders>
            <w:shd w:val="solid" w:color="000000" w:fill="auto"/>
          </w:tcPr>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Budget</w:t>
            </w:r>
          </w:p>
          <w:p w:rsidR="00DB2687" w:rsidRPr="00BF1FB8" w:rsidRDefault="00DB2687" w:rsidP="00BF1FB8">
            <w:pPr>
              <w:autoSpaceDE w:val="0"/>
              <w:autoSpaceDN w:val="0"/>
              <w:adjustRightInd w:val="0"/>
              <w:spacing w:after="0"/>
              <w:jc w:val="right"/>
              <w:rPr>
                <w:rFonts w:ascii="Calibri" w:eastAsiaTheme="minorEastAsia" w:hAnsi="Calibri" w:cs="Calibri"/>
                <w:i/>
                <w:iCs/>
                <w:color w:val="FFFFFF"/>
                <w:sz w:val="22"/>
                <w:szCs w:val="22"/>
                <w:lang w:eastAsia="en-AU"/>
              </w:rPr>
            </w:pPr>
            <w:r w:rsidRPr="00BF1FB8">
              <w:rPr>
                <w:rFonts w:ascii="Calibri" w:eastAsiaTheme="minorEastAsia" w:hAnsi="Calibri" w:cs="Calibri"/>
                <w:i/>
                <w:iCs/>
                <w:color w:val="FFFFFF"/>
                <w:sz w:val="22"/>
                <w:szCs w:val="22"/>
                <w:lang w:eastAsia="en-AU"/>
              </w:rPr>
              <w:t>30 Jun</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1 250</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Intangible produced assets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1 287</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1 252</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1 337</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(554)</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Accumulated depreciation</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(701)</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(693)</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(796)</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102</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Intangible non-produced assets </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154</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143</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154</w:t>
            </w:r>
          </w:p>
        </w:tc>
      </w:tr>
      <w:tr w:rsidR="009A3756" w:rsidRPr="00BF1FB8" w:rsidTr="009A3756">
        <w:trPr>
          <w:cantSplit/>
        </w:trPr>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(49)</w:t>
            </w:r>
          </w:p>
        </w:tc>
        <w:tc>
          <w:tcPr>
            <w:tcW w:w="5102"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Accumulated amortisation</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(69)</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(62)</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(69)</w:t>
            </w:r>
          </w:p>
        </w:tc>
      </w:tr>
      <w:tr w:rsidR="009A3756" w:rsidRPr="00BF1FB8" w:rsidTr="009A3756">
        <w:trPr>
          <w:cantSplit/>
        </w:trPr>
        <w:tc>
          <w:tcPr>
            <w:tcW w:w="1134" w:type="dxa"/>
            <w:tcBorders>
              <w:top w:val="single" w:sz="6" w:space="0" w:color="000000"/>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749</w:t>
            </w:r>
          </w:p>
        </w:tc>
        <w:tc>
          <w:tcPr>
            <w:tcW w:w="5102" w:type="dxa"/>
            <w:tcBorders>
              <w:top w:val="single" w:sz="6" w:space="0" w:color="000000"/>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Total intangibles </w:t>
            </w:r>
          </w:p>
        </w:tc>
        <w:tc>
          <w:tcPr>
            <w:tcW w:w="1134" w:type="dxa"/>
            <w:tcBorders>
              <w:top w:val="single" w:sz="6" w:space="0" w:color="000000"/>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670</w:t>
            </w:r>
          </w:p>
        </w:tc>
        <w:tc>
          <w:tcPr>
            <w:tcW w:w="1134" w:type="dxa"/>
            <w:tcBorders>
              <w:top w:val="single" w:sz="6" w:space="0" w:color="000000"/>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640</w:t>
            </w:r>
          </w:p>
        </w:tc>
        <w:tc>
          <w:tcPr>
            <w:tcW w:w="1134" w:type="dxa"/>
            <w:tcBorders>
              <w:top w:val="single" w:sz="6" w:space="0" w:color="000000"/>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625</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137</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Investment properties</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69</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69</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62</w:t>
            </w:r>
          </w:p>
        </w:tc>
      </w:tr>
      <w:tr w:rsidR="009A3756" w:rsidRPr="00BF1FB8" w:rsidTr="009A3756">
        <w:trPr>
          <w:cantSplit/>
        </w:trPr>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5</w:t>
            </w:r>
          </w:p>
        </w:tc>
        <w:tc>
          <w:tcPr>
            <w:tcW w:w="5102" w:type="dxa"/>
            <w:tcBorders>
              <w:top w:val="nil"/>
              <w:left w:val="nil"/>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Biological assets</w:t>
            </w:r>
            <w:r w:rsidRPr="001C11D9">
              <w:rPr>
                <w:rFonts w:ascii="Calibri" w:eastAsiaTheme="minorEastAsia" w:hAnsi="Calibri" w:cs="Calibri"/>
                <w:color w:val="000000"/>
                <w:sz w:val="22"/>
                <w:szCs w:val="22"/>
                <w:vertAlign w:val="superscript"/>
                <w:lang w:eastAsia="en-AU"/>
              </w:rPr>
              <w:t>(b)</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4</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4</w:t>
            </w:r>
          </w:p>
        </w:tc>
        <w:tc>
          <w:tcPr>
            <w:tcW w:w="1134" w:type="dxa"/>
            <w:tcBorders>
              <w:top w:val="nil"/>
              <w:left w:val="nil"/>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5</w:t>
            </w:r>
          </w:p>
        </w:tc>
      </w:tr>
      <w:tr w:rsidR="009A3756" w:rsidRPr="00BF1FB8" w:rsidTr="009A3756">
        <w:trPr>
          <w:cantSplit/>
        </w:trPr>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493</w:t>
            </w:r>
          </w:p>
        </w:tc>
        <w:tc>
          <w:tcPr>
            <w:tcW w:w="5102"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Other assets</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295</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502</w:t>
            </w:r>
          </w:p>
        </w:tc>
        <w:tc>
          <w:tcPr>
            <w:tcW w:w="1134" w:type="dxa"/>
            <w:tcBorders>
              <w:top w:val="nil"/>
              <w:left w:val="nil"/>
              <w:bottom w:val="single" w:sz="6" w:space="0" w:color="000000"/>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color w:val="000000"/>
                <w:sz w:val="22"/>
                <w:szCs w:val="22"/>
                <w:lang w:eastAsia="en-AU"/>
              </w:rPr>
            </w:pPr>
            <w:r w:rsidRPr="00BF1FB8">
              <w:rPr>
                <w:rFonts w:ascii="Calibri" w:eastAsiaTheme="minorEastAsia" w:hAnsi="Calibri" w:cs="Calibri"/>
                <w:color w:val="000000"/>
                <w:sz w:val="22"/>
                <w:szCs w:val="22"/>
                <w:lang w:eastAsia="en-AU"/>
              </w:rPr>
              <w:t xml:space="preserve"> 285</w:t>
            </w:r>
          </w:p>
        </w:tc>
      </w:tr>
      <w:tr w:rsidR="009A3756" w:rsidRPr="00BF1FB8" w:rsidTr="009A3756">
        <w:trPr>
          <w:cantSplit/>
        </w:trPr>
        <w:tc>
          <w:tcPr>
            <w:tcW w:w="1134"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1 384</w:t>
            </w:r>
          </w:p>
        </w:tc>
        <w:tc>
          <w:tcPr>
            <w:tcW w:w="5102"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Total other non-financial assets</w:t>
            </w:r>
          </w:p>
        </w:tc>
        <w:tc>
          <w:tcPr>
            <w:tcW w:w="1134"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1 038</w:t>
            </w:r>
          </w:p>
        </w:tc>
        <w:tc>
          <w:tcPr>
            <w:tcW w:w="1134"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1 215</w:t>
            </w:r>
          </w:p>
        </w:tc>
        <w:tc>
          <w:tcPr>
            <w:tcW w:w="1134" w:type="dxa"/>
            <w:tcBorders>
              <w:top w:val="single" w:sz="6" w:space="0" w:color="000000"/>
              <w:left w:val="nil"/>
              <w:bottom w:val="single" w:sz="12" w:space="0" w:color="auto"/>
              <w:right w:val="nil"/>
            </w:tcBorders>
            <w:shd w:val="clear" w:color="auto" w:fill="FFFFFF"/>
          </w:tcPr>
          <w:p w:rsidR="009A3756" w:rsidRPr="00BF1FB8" w:rsidRDefault="009A3756" w:rsidP="00BF1FB8">
            <w:pPr>
              <w:autoSpaceDE w:val="0"/>
              <w:autoSpaceDN w:val="0"/>
              <w:adjustRightInd w:val="0"/>
              <w:spacing w:after="0"/>
              <w:jc w:val="right"/>
              <w:rPr>
                <w:rFonts w:ascii="Calibri" w:eastAsiaTheme="minorEastAsia" w:hAnsi="Calibri" w:cs="Calibri"/>
                <w:b/>
                <w:bCs/>
                <w:color w:val="000000"/>
                <w:sz w:val="22"/>
                <w:szCs w:val="22"/>
                <w:lang w:eastAsia="en-AU"/>
              </w:rPr>
            </w:pPr>
            <w:r w:rsidRPr="00BF1FB8">
              <w:rPr>
                <w:rFonts w:ascii="Calibri" w:eastAsiaTheme="minorEastAsia" w:hAnsi="Calibri" w:cs="Calibri"/>
                <w:b/>
                <w:bCs/>
                <w:color w:val="000000"/>
                <w:sz w:val="22"/>
                <w:szCs w:val="22"/>
                <w:lang w:eastAsia="en-AU"/>
              </w:rPr>
              <w:t xml:space="preserve"> 977</w:t>
            </w:r>
          </w:p>
        </w:tc>
      </w:tr>
      <w:tr w:rsidR="009A3756" w:rsidRPr="00BF1FB8" w:rsidTr="009A3756">
        <w:trPr>
          <w:cantSplit/>
        </w:trPr>
        <w:tc>
          <w:tcPr>
            <w:tcW w:w="9638" w:type="dxa"/>
            <w:gridSpan w:val="5"/>
            <w:tcBorders>
              <w:top w:val="single" w:sz="12" w:space="0" w:color="auto"/>
              <w:left w:val="nil"/>
              <w:bottom w:val="nil"/>
              <w:right w:val="nil"/>
            </w:tcBorders>
            <w:shd w:val="clear" w:color="auto" w:fill="auto"/>
          </w:tcPr>
          <w:p w:rsidR="009A3756" w:rsidRPr="00BF1FB8" w:rsidRDefault="009A3756" w:rsidP="00BF1FB8">
            <w:pPr>
              <w:pStyle w:val="Notes"/>
              <w:rPr>
                <w:rFonts w:eastAsiaTheme="minorEastAsia"/>
                <w:lang w:eastAsia="en-AU"/>
              </w:rPr>
            </w:pPr>
            <w:r w:rsidRPr="00BF1FB8">
              <w:rPr>
                <w:rFonts w:eastAsiaTheme="minorEastAsia"/>
                <w:lang w:eastAsia="en-AU"/>
              </w:rPr>
              <w:t>Note</w:t>
            </w:r>
            <w:r>
              <w:rPr>
                <w:rFonts w:eastAsiaTheme="minorEastAsia"/>
                <w:lang w:eastAsia="en-AU"/>
              </w:rPr>
              <w:t>s</w:t>
            </w:r>
            <w:r w:rsidRPr="00BF1FB8">
              <w:rPr>
                <w:rFonts w:eastAsiaTheme="minorEastAsia"/>
                <w:lang w:eastAsia="en-AU"/>
              </w:rPr>
              <w:t>:</w:t>
            </w:r>
          </w:p>
        </w:tc>
      </w:tr>
      <w:tr w:rsidR="009A3756" w:rsidRPr="00BF1FB8" w:rsidTr="009A3756">
        <w:trPr>
          <w:cantSplit/>
        </w:trPr>
        <w:tc>
          <w:tcPr>
            <w:tcW w:w="9638" w:type="dxa"/>
            <w:gridSpan w:val="5"/>
            <w:tcBorders>
              <w:top w:val="nil"/>
              <w:left w:val="nil"/>
              <w:bottom w:val="nil"/>
              <w:right w:val="nil"/>
            </w:tcBorders>
          </w:tcPr>
          <w:p w:rsidR="009A3756" w:rsidRDefault="009A3756" w:rsidP="00B566C6">
            <w:pPr>
              <w:pStyle w:val="Notes"/>
              <w:rPr>
                <w:rFonts w:eastAsiaTheme="minorEastAsia"/>
                <w:lang w:eastAsia="en-AU"/>
              </w:rPr>
            </w:pPr>
            <w:r>
              <w:rPr>
                <w:rFonts w:eastAsiaTheme="minorEastAsia"/>
                <w:lang w:eastAsia="en-AU"/>
              </w:rPr>
              <w:t>(a)</w:t>
            </w:r>
            <w:r>
              <w:rPr>
                <w:rFonts w:eastAsiaTheme="minorEastAsia"/>
                <w:lang w:eastAsia="en-AU"/>
              </w:rPr>
              <w:tab/>
              <w:t>September 2014-15 comparative figures have been restated to reflect more current information.</w:t>
            </w:r>
          </w:p>
          <w:p w:rsidR="009A3756" w:rsidRPr="00BF1FB8" w:rsidRDefault="009A3756" w:rsidP="00B566C6">
            <w:pPr>
              <w:pStyle w:val="Notes"/>
              <w:rPr>
                <w:rFonts w:eastAsiaTheme="minorEastAsia"/>
                <w:lang w:eastAsia="en-AU"/>
              </w:rPr>
            </w:pPr>
            <w:r>
              <w:rPr>
                <w:rFonts w:eastAsiaTheme="minorEastAsia"/>
                <w:lang w:eastAsia="en-AU"/>
              </w:rPr>
              <w:t xml:space="preserve">(b)  </w:t>
            </w:r>
            <w:r>
              <w:rPr>
                <w:rFonts w:eastAsiaTheme="minorEastAsia"/>
                <w:lang w:eastAsia="en-AU"/>
              </w:rPr>
              <w:tab/>
              <w:t>The majority of biological assets comprises of commercial forests and also includes any living animal, plant or agricultural produce, which is the harvested product of biological assets.</w:t>
            </w:r>
          </w:p>
        </w:tc>
      </w:tr>
    </w:tbl>
    <w:p w:rsidR="00BF1FB8" w:rsidRPr="001C11D9" w:rsidRDefault="00BF1FB8" w:rsidP="007444E7">
      <w:pPr>
        <w:rPr>
          <w:rFonts w:ascii="Calibri" w:eastAsiaTheme="minorEastAsia" w:hAnsi="Calibri"/>
          <w:i/>
          <w:sz w:val="16"/>
          <w:lang w:eastAsia="en-AU"/>
        </w:rPr>
      </w:pPr>
    </w:p>
    <w:p w:rsidR="00430D4B" w:rsidRDefault="00430D4B" w:rsidP="007444E7"/>
    <w:p w:rsidR="007444E7" w:rsidRDefault="007444E7">
      <w:pPr>
        <w:spacing w:after="0"/>
        <w:rPr>
          <w:rFonts w:ascii="Calibri" w:hAnsi="Calibri"/>
          <w:b/>
          <w:kern w:val="28"/>
          <w:sz w:val="28"/>
          <w:szCs w:val="22"/>
        </w:rPr>
      </w:pPr>
      <w:r>
        <w:br w:type="page"/>
      </w:r>
    </w:p>
    <w:p w:rsidR="0014694C" w:rsidRDefault="00A26516" w:rsidP="0014694C">
      <w:pPr>
        <w:pStyle w:val="Heading2NotesQtrly"/>
        <w:rPr>
          <w:rFonts w:ascii="Times New Roman" w:hAnsi="Times New Roman"/>
          <w:b w:val="0"/>
          <w:kern w:val="0"/>
          <w:sz w:val="20"/>
          <w:szCs w:val="20"/>
          <w:lang w:eastAsia="en-AU"/>
        </w:rPr>
      </w:pPr>
      <w:bookmarkStart w:id="25" w:name="_Toc435107447"/>
      <w:r>
        <w:lastRenderedPageBreak/>
        <w:t>Note 15:</w:t>
      </w:r>
      <w:r>
        <w:tab/>
        <w:t>Assets by government pur</w:t>
      </w:r>
      <w:r w:rsidR="005C37AB">
        <w:t>pose and by department</w:t>
      </w:r>
      <w:bookmarkEnd w:id="25"/>
    </w:p>
    <w:p w:rsidR="009A3756" w:rsidRDefault="009A3756" w:rsidP="009A3756">
      <w:pPr>
        <w:pStyle w:val="Tableheading"/>
      </w:pPr>
      <w:r w:rsidRPr="009A3756">
        <w:t>(a)</w:t>
      </w:r>
      <w:r w:rsidRPr="009A3756">
        <w:tab/>
        <w:t>Purchases of non-financ</w:t>
      </w:r>
      <w:r>
        <w:t>ial assets by department</w:t>
      </w:r>
      <w:r w:rsidRPr="009A3756">
        <w:rPr>
          <w:vertAlign w:val="superscript"/>
        </w:rPr>
        <w:t>(a)</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9A3756" w:rsidRPr="0014694C" w:rsidTr="009A3756">
        <w:trPr>
          <w:cantSplit/>
          <w:tblHeader/>
        </w:trPr>
        <w:tc>
          <w:tcPr>
            <w:tcW w:w="9638" w:type="dxa"/>
            <w:gridSpan w:val="4"/>
            <w:tcBorders>
              <w:top w:val="nil"/>
              <w:left w:val="nil"/>
              <w:bottom w:val="nil"/>
              <w:right w:val="nil"/>
            </w:tcBorders>
          </w:tcPr>
          <w:p w:rsidR="009A3756" w:rsidRPr="0014694C" w:rsidRDefault="009A3756" w:rsidP="0014694C">
            <w:pPr>
              <w:pStyle w:val="million"/>
              <w:rPr>
                <w:rFonts w:eastAsiaTheme="minorEastAsia"/>
                <w:lang w:eastAsia="en-AU"/>
              </w:rPr>
            </w:pPr>
            <w:r w:rsidRPr="0014694C">
              <w:rPr>
                <w:rFonts w:eastAsiaTheme="minorEastAsia"/>
                <w:lang w:eastAsia="en-AU"/>
              </w:rPr>
              <w:t>($ million)</w:t>
            </w:r>
          </w:p>
        </w:tc>
      </w:tr>
      <w:tr w:rsidR="00DB2687" w:rsidRPr="0014694C" w:rsidTr="00A9590A">
        <w:trPr>
          <w:cantSplit/>
          <w:tblHeader/>
        </w:trPr>
        <w:tc>
          <w:tcPr>
            <w:tcW w:w="1134" w:type="dxa"/>
            <w:tcBorders>
              <w:top w:val="nil"/>
              <w:left w:val="nil"/>
              <w:bottom w:val="nil"/>
              <w:right w:val="nil"/>
            </w:tcBorders>
            <w:shd w:val="solid" w:color="000000" w:fill="auto"/>
          </w:tcPr>
          <w:p w:rsidR="00DB2687" w:rsidRPr="0014694C" w:rsidRDefault="00DB2687" w:rsidP="0014694C">
            <w:pPr>
              <w:autoSpaceDE w:val="0"/>
              <w:autoSpaceDN w:val="0"/>
              <w:adjustRightInd w:val="0"/>
              <w:spacing w:after="0"/>
              <w:jc w:val="right"/>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2014-15</w:t>
            </w:r>
          </w:p>
        </w:tc>
        <w:tc>
          <w:tcPr>
            <w:tcW w:w="6236" w:type="dxa"/>
            <w:tcBorders>
              <w:top w:val="nil"/>
              <w:left w:val="nil"/>
              <w:bottom w:val="nil"/>
              <w:right w:val="nil"/>
            </w:tcBorders>
            <w:shd w:val="solid" w:color="000000" w:fill="auto"/>
          </w:tcPr>
          <w:p w:rsidR="00DB2687" w:rsidRPr="0014694C" w:rsidRDefault="00DB2687" w:rsidP="0014694C">
            <w:pPr>
              <w:autoSpaceDE w:val="0"/>
              <w:autoSpaceDN w:val="0"/>
              <w:adjustRightInd w:val="0"/>
              <w:spacing w:after="0"/>
              <w:jc w:val="right"/>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 xml:space="preserve"> </w:t>
            </w:r>
          </w:p>
        </w:tc>
        <w:tc>
          <w:tcPr>
            <w:tcW w:w="2268" w:type="dxa"/>
            <w:gridSpan w:val="2"/>
            <w:tcBorders>
              <w:top w:val="nil"/>
              <w:left w:val="nil"/>
              <w:bottom w:val="nil"/>
              <w:right w:val="nil"/>
            </w:tcBorders>
            <w:shd w:val="solid" w:color="000000" w:fill="auto"/>
          </w:tcPr>
          <w:p w:rsidR="00DB2687" w:rsidRPr="0014694C" w:rsidRDefault="00DB2687" w:rsidP="0014694C">
            <w:pPr>
              <w:autoSpaceDE w:val="0"/>
              <w:autoSpaceDN w:val="0"/>
              <w:adjustRightInd w:val="0"/>
              <w:spacing w:after="0"/>
              <w:jc w:val="center"/>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2015-16</w:t>
            </w:r>
          </w:p>
        </w:tc>
      </w:tr>
      <w:tr w:rsidR="00DB2687" w:rsidRPr="0014694C" w:rsidTr="001B1FCB">
        <w:trPr>
          <w:cantSplit/>
          <w:trHeight w:val="537"/>
          <w:tblHeader/>
        </w:trPr>
        <w:tc>
          <w:tcPr>
            <w:tcW w:w="1134" w:type="dxa"/>
            <w:tcBorders>
              <w:top w:val="nil"/>
              <w:left w:val="nil"/>
              <w:right w:val="nil"/>
            </w:tcBorders>
            <w:shd w:val="solid" w:color="000000" w:fill="auto"/>
          </w:tcPr>
          <w:p w:rsidR="00DB2687" w:rsidRPr="0014694C" w:rsidRDefault="00DB2687" w:rsidP="0014694C">
            <w:pPr>
              <w:autoSpaceDE w:val="0"/>
              <w:autoSpaceDN w:val="0"/>
              <w:adjustRightInd w:val="0"/>
              <w:spacing w:after="0"/>
              <w:jc w:val="right"/>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 xml:space="preserve">Actual </w:t>
            </w:r>
          </w:p>
          <w:p w:rsidR="00DB2687" w:rsidRPr="0014694C" w:rsidRDefault="00DB2687" w:rsidP="0014694C">
            <w:pPr>
              <w:autoSpaceDE w:val="0"/>
              <w:autoSpaceDN w:val="0"/>
              <w:adjustRightInd w:val="0"/>
              <w:spacing w:after="0"/>
              <w:jc w:val="right"/>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to Sep</w:t>
            </w:r>
          </w:p>
        </w:tc>
        <w:tc>
          <w:tcPr>
            <w:tcW w:w="6236" w:type="dxa"/>
            <w:tcBorders>
              <w:top w:val="nil"/>
              <w:left w:val="nil"/>
              <w:right w:val="nil"/>
            </w:tcBorders>
            <w:shd w:val="solid" w:color="000000" w:fill="auto"/>
          </w:tcPr>
          <w:p w:rsidR="00DB2687" w:rsidRPr="0014694C" w:rsidRDefault="00DB2687" w:rsidP="0014694C">
            <w:pPr>
              <w:autoSpaceDE w:val="0"/>
              <w:autoSpaceDN w:val="0"/>
              <w:adjustRightInd w:val="0"/>
              <w:spacing w:after="0"/>
              <w:jc w:val="right"/>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 xml:space="preserve"> </w:t>
            </w:r>
          </w:p>
          <w:p w:rsidR="00DB2687" w:rsidRPr="0014694C" w:rsidRDefault="00DB2687" w:rsidP="0014694C">
            <w:pPr>
              <w:autoSpaceDE w:val="0"/>
              <w:autoSpaceDN w:val="0"/>
              <w:adjustRightInd w:val="0"/>
              <w:spacing w:after="0"/>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 xml:space="preserve"> </w:t>
            </w:r>
          </w:p>
        </w:tc>
        <w:tc>
          <w:tcPr>
            <w:tcW w:w="1134" w:type="dxa"/>
            <w:tcBorders>
              <w:top w:val="nil"/>
              <w:left w:val="nil"/>
              <w:right w:val="nil"/>
            </w:tcBorders>
            <w:shd w:val="solid" w:color="000000" w:fill="auto"/>
          </w:tcPr>
          <w:p w:rsidR="00DB2687" w:rsidRPr="0014694C" w:rsidRDefault="00DB2687" w:rsidP="0014694C">
            <w:pPr>
              <w:autoSpaceDE w:val="0"/>
              <w:autoSpaceDN w:val="0"/>
              <w:adjustRightInd w:val="0"/>
              <w:spacing w:after="0"/>
              <w:jc w:val="right"/>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 xml:space="preserve">Actual </w:t>
            </w:r>
          </w:p>
          <w:p w:rsidR="00DB2687" w:rsidRPr="0014694C" w:rsidRDefault="00DB2687" w:rsidP="0014694C">
            <w:pPr>
              <w:autoSpaceDE w:val="0"/>
              <w:autoSpaceDN w:val="0"/>
              <w:adjustRightInd w:val="0"/>
              <w:spacing w:after="0"/>
              <w:jc w:val="right"/>
              <w:rPr>
                <w:rFonts w:ascii="Calibri" w:eastAsiaTheme="minorEastAsia" w:hAnsi="Calibri" w:cs="Calibri"/>
                <w:i/>
                <w:iCs/>
                <w:color w:val="FFFFFF"/>
                <w:sz w:val="22"/>
                <w:lang w:eastAsia="en-AU"/>
              </w:rPr>
            </w:pPr>
            <w:r w:rsidRPr="0014694C">
              <w:rPr>
                <w:rFonts w:ascii="Calibri" w:eastAsiaTheme="minorEastAsia" w:hAnsi="Calibri" w:cs="Calibri"/>
                <w:i/>
                <w:iCs/>
                <w:color w:val="FFFFFF"/>
                <w:sz w:val="22"/>
                <w:lang w:eastAsia="en-AU"/>
              </w:rPr>
              <w:t>to Sep</w:t>
            </w:r>
          </w:p>
        </w:tc>
        <w:tc>
          <w:tcPr>
            <w:tcW w:w="1134" w:type="dxa"/>
            <w:tcBorders>
              <w:top w:val="nil"/>
              <w:left w:val="nil"/>
              <w:right w:val="nil"/>
            </w:tcBorders>
            <w:shd w:val="solid" w:color="000000" w:fill="auto"/>
          </w:tcPr>
          <w:p w:rsidR="00DB2687" w:rsidRPr="0014694C" w:rsidRDefault="00DB2687" w:rsidP="00CC521C">
            <w:pPr>
              <w:autoSpaceDE w:val="0"/>
              <w:autoSpaceDN w:val="0"/>
              <w:adjustRightInd w:val="0"/>
              <w:spacing w:after="0"/>
              <w:jc w:val="right"/>
              <w:rPr>
                <w:rFonts w:ascii="Calibri" w:eastAsiaTheme="minorEastAsia" w:hAnsi="Calibri" w:cs="Calibri"/>
                <w:i/>
                <w:iCs/>
                <w:color w:val="FFFFFF"/>
                <w:sz w:val="22"/>
                <w:lang w:eastAsia="en-AU"/>
              </w:rPr>
            </w:pPr>
            <w:r>
              <w:rPr>
                <w:rFonts w:ascii="Calibri" w:eastAsiaTheme="minorEastAsia" w:hAnsi="Calibri" w:cs="Calibri"/>
                <w:i/>
                <w:iCs/>
                <w:color w:val="FFFFFF"/>
                <w:sz w:val="22"/>
                <w:lang w:eastAsia="en-AU"/>
              </w:rPr>
              <w:t>Annual</w:t>
            </w:r>
          </w:p>
          <w:p w:rsidR="00DB2687" w:rsidRPr="0014694C" w:rsidRDefault="00DB2687" w:rsidP="0014694C">
            <w:pPr>
              <w:autoSpaceDE w:val="0"/>
              <w:autoSpaceDN w:val="0"/>
              <w:adjustRightInd w:val="0"/>
              <w:spacing w:after="0"/>
              <w:jc w:val="right"/>
              <w:rPr>
                <w:rFonts w:ascii="Calibri" w:eastAsiaTheme="minorEastAsia" w:hAnsi="Calibri" w:cs="Calibri"/>
                <w:i/>
                <w:iCs/>
                <w:color w:val="FFFFFF"/>
                <w:sz w:val="22"/>
                <w:lang w:eastAsia="en-AU"/>
              </w:rPr>
            </w:pPr>
            <w:r>
              <w:rPr>
                <w:rFonts w:ascii="Calibri" w:eastAsiaTheme="minorEastAsia" w:hAnsi="Calibri" w:cs="Calibri"/>
                <w:i/>
                <w:iCs/>
                <w:color w:val="FFFFFF"/>
                <w:sz w:val="22"/>
                <w:lang w:eastAsia="en-AU"/>
              </w:rPr>
              <w:t>budget</w:t>
            </w:r>
            <w:r w:rsidRPr="0014694C">
              <w:rPr>
                <w:rFonts w:ascii="Calibri" w:eastAsiaTheme="minorEastAsia" w:hAnsi="Calibri" w:cs="Calibri"/>
                <w:i/>
                <w:iCs/>
                <w:color w:val="FFFFFF"/>
                <w:sz w:val="22"/>
                <w:lang w:eastAsia="en-AU"/>
              </w:rPr>
              <w:t xml:space="preserve"> </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Economic Development, Jobs, Transport and Resources</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521</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2 194</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2A766B">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w:t>
            </w:r>
            <w:r>
              <w:rPr>
                <w:rFonts w:ascii="Calibri" w:eastAsiaTheme="minorEastAsia" w:hAnsi="Calibri" w:cs="Calibri"/>
                <w:color w:val="000000"/>
                <w:sz w:val="22"/>
                <w:lang w:eastAsia="en-AU"/>
              </w:rPr>
              <w:t>07</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Education and Training</w:t>
            </w:r>
          </w:p>
        </w:tc>
        <w:tc>
          <w:tcPr>
            <w:tcW w:w="1134" w:type="dxa"/>
            <w:tcBorders>
              <w:top w:val="nil"/>
              <w:left w:val="nil"/>
              <w:right w:val="nil"/>
            </w:tcBorders>
            <w:shd w:val="clear" w:color="auto" w:fill="FFFFFF"/>
          </w:tcPr>
          <w:p w:rsidR="009A3756" w:rsidRPr="0014694C" w:rsidRDefault="009A3756" w:rsidP="002A766B">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w:t>
            </w:r>
            <w:r>
              <w:rPr>
                <w:rFonts w:ascii="Calibri" w:eastAsiaTheme="minorEastAsia" w:hAnsi="Calibri" w:cs="Calibri"/>
                <w:color w:val="000000"/>
                <w:sz w:val="22"/>
                <w:lang w:eastAsia="en-AU"/>
              </w:rPr>
              <w:t>48</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488</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24</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Environment, Land, Water and Planning</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61</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170</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Health and Human Services</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78</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873</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7</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Human Services</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151</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Justice and Regulation</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221</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567</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8</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Premier and Cabinet</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2</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16</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353</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Transport, Planning and Local Infrastructure</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2A766B">
            <w:pPr>
              <w:autoSpaceDE w:val="0"/>
              <w:autoSpaceDN w:val="0"/>
              <w:adjustRightInd w:val="0"/>
              <w:spacing w:after="0"/>
              <w:jc w:val="right"/>
              <w:rPr>
                <w:rFonts w:ascii="Calibri" w:eastAsiaTheme="minorEastAsia" w:hAnsi="Calibri" w:cs="Calibri"/>
                <w:color w:val="000000"/>
                <w:sz w:val="22"/>
                <w:lang w:eastAsia="en-AU"/>
              </w:rPr>
            </w:pPr>
            <w:r>
              <w:rPr>
                <w:rFonts w:ascii="Calibri" w:eastAsiaTheme="minorEastAsia" w:hAnsi="Calibri" w:cs="Calibri"/>
                <w:color w:val="000000"/>
                <w:sz w:val="22"/>
                <w:lang w:eastAsia="en-AU"/>
              </w:rPr>
              <w:t xml:space="preserve"> 6</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Treasury and Finance</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13</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38</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2</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Parliament</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2</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5</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Courts</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4</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53</w:t>
            </w:r>
          </w:p>
        </w:tc>
      </w:tr>
      <w:tr w:rsidR="009A3756" w:rsidRPr="0014694C" w:rsidTr="009A3756">
        <w:trPr>
          <w:cantSplit/>
        </w:trPr>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22</w:t>
            </w:r>
          </w:p>
        </w:tc>
        <w:tc>
          <w:tcPr>
            <w:tcW w:w="6236" w:type="dxa"/>
            <w:tcBorders>
              <w:top w:val="nil"/>
              <w:left w:val="nil"/>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Regulatory bodies and other part funded agencies</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27</w:t>
            </w:r>
          </w:p>
        </w:tc>
        <w:tc>
          <w:tcPr>
            <w:tcW w:w="1134" w:type="dxa"/>
            <w:tcBorders>
              <w:top w:val="nil"/>
              <w:left w:val="nil"/>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168</w:t>
            </w:r>
          </w:p>
        </w:tc>
      </w:tr>
      <w:tr w:rsidR="009A3756" w:rsidRPr="0014694C" w:rsidTr="009A3756">
        <w:trPr>
          <w:cantSplit/>
        </w:trPr>
        <w:tc>
          <w:tcPr>
            <w:tcW w:w="1134" w:type="dxa"/>
            <w:tcBorders>
              <w:top w:val="nil"/>
              <w:left w:val="nil"/>
              <w:bottom w:val="single" w:sz="6" w:space="0" w:color="auto"/>
              <w:right w:val="nil"/>
            </w:tcBorders>
            <w:shd w:val="clear" w:color="auto" w:fill="FFFFFF"/>
          </w:tcPr>
          <w:p w:rsidR="009A3756" w:rsidRPr="0014694C" w:rsidRDefault="009A3756" w:rsidP="002A766B">
            <w:pPr>
              <w:autoSpaceDE w:val="0"/>
              <w:autoSpaceDN w:val="0"/>
              <w:adjustRightInd w:val="0"/>
              <w:spacing w:after="0"/>
              <w:jc w:val="right"/>
              <w:rPr>
                <w:rFonts w:ascii="Calibri" w:eastAsiaTheme="minorEastAsia" w:hAnsi="Calibri" w:cs="Calibri"/>
                <w:color w:val="000000"/>
                <w:sz w:val="22"/>
                <w:lang w:eastAsia="en-AU"/>
              </w:rPr>
            </w:pPr>
            <w:r>
              <w:rPr>
                <w:rFonts w:ascii="Calibri" w:eastAsiaTheme="minorEastAsia" w:hAnsi="Calibri" w:cs="Calibri"/>
                <w:color w:val="000000"/>
                <w:sz w:val="22"/>
                <w:lang w:eastAsia="en-AU"/>
              </w:rPr>
              <w:t>36</w:t>
            </w:r>
          </w:p>
        </w:tc>
        <w:tc>
          <w:tcPr>
            <w:tcW w:w="6236" w:type="dxa"/>
            <w:tcBorders>
              <w:top w:val="nil"/>
              <w:left w:val="nil"/>
              <w:bottom w:val="single" w:sz="6" w:space="0" w:color="auto"/>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color w:val="000000"/>
                <w:sz w:val="22"/>
                <w:vertAlign w:val="superscript"/>
                <w:lang w:eastAsia="en-AU"/>
              </w:rPr>
            </w:pPr>
            <w:r>
              <w:rPr>
                <w:rFonts w:ascii="Calibri" w:eastAsiaTheme="minorEastAsia" w:hAnsi="Calibri" w:cs="Calibri"/>
                <w:color w:val="000000"/>
                <w:sz w:val="22"/>
                <w:lang w:eastAsia="en-AU"/>
              </w:rPr>
              <w:t>Adjustments</w:t>
            </w:r>
            <w:r w:rsidRPr="0014694C">
              <w:rPr>
                <w:rFonts w:ascii="Calibri" w:eastAsiaTheme="minorEastAsia" w:hAnsi="Calibri" w:cs="Calibri"/>
                <w:color w:val="000000"/>
                <w:sz w:val="22"/>
                <w:vertAlign w:val="superscript"/>
                <w:lang w:eastAsia="en-AU"/>
              </w:rPr>
              <w:t>(b)</w:t>
            </w:r>
          </w:p>
        </w:tc>
        <w:tc>
          <w:tcPr>
            <w:tcW w:w="1134" w:type="dxa"/>
            <w:tcBorders>
              <w:top w:val="nil"/>
              <w:left w:val="nil"/>
              <w:bottom w:val="single" w:sz="6" w:space="0" w:color="auto"/>
              <w:right w:val="nil"/>
            </w:tcBorders>
            <w:shd w:val="clear" w:color="auto" w:fill="FFFFFF"/>
          </w:tcPr>
          <w:p w:rsidR="009A3756" w:rsidRPr="0014694C" w:rsidRDefault="009A3756" w:rsidP="002A766B">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2</w:t>
            </w:r>
            <w:r>
              <w:rPr>
                <w:rFonts w:ascii="Calibri" w:eastAsiaTheme="minorEastAsia" w:hAnsi="Calibri" w:cs="Calibri"/>
                <w:color w:val="000000"/>
                <w:sz w:val="22"/>
                <w:lang w:eastAsia="en-AU"/>
              </w:rPr>
              <w:t>9</w:t>
            </w:r>
          </w:p>
        </w:tc>
        <w:tc>
          <w:tcPr>
            <w:tcW w:w="1134" w:type="dxa"/>
            <w:tcBorders>
              <w:top w:val="nil"/>
              <w:left w:val="nil"/>
              <w:bottom w:val="single" w:sz="6" w:space="0" w:color="auto"/>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color w:val="000000"/>
                <w:sz w:val="22"/>
                <w:lang w:eastAsia="en-AU"/>
              </w:rPr>
            </w:pPr>
            <w:r w:rsidRPr="0014694C">
              <w:rPr>
                <w:rFonts w:ascii="Calibri" w:eastAsiaTheme="minorEastAsia" w:hAnsi="Calibri" w:cs="Calibri"/>
                <w:color w:val="000000"/>
                <w:sz w:val="22"/>
                <w:lang w:eastAsia="en-AU"/>
              </w:rPr>
              <w:t xml:space="preserve"> 89</w:t>
            </w:r>
          </w:p>
        </w:tc>
      </w:tr>
      <w:tr w:rsidR="009A3756" w:rsidRPr="0014694C" w:rsidTr="009A3756">
        <w:trPr>
          <w:cantSplit/>
        </w:trPr>
        <w:tc>
          <w:tcPr>
            <w:tcW w:w="1134" w:type="dxa"/>
            <w:tcBorders>
              <w:top w:val="single" w:sz="6" w:space="0" w:color="auto"/>
              <w:left w:val="nil"/>
              <w:bottom w:val="single" w:sz="12" w:space="0" w:color="auto"/>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b/>
                <w:bCs/>
                <w:color w:val="000000"/>
                <w:sz w:val="22"/>
                <w:lang w:eastAsia="en-AU"/>
              </w:rPr>
            </w:pPr>
            <w:r w:rsidRPr="0014694C">
              <w:rPr>
                <w:rFonts w:ascii="Calibri" w:eastAsiaTheme="minorEastAsia" w:hAnsi="Calibri" w:cs="Calibri"/>
                <w:b/>
                <w:bCs/>
                <w:color w:val="000000"/>
                <w:sz w:val="22"/>
                <w:lang w:eastAsia="en-AU"/>
              </w:rPr>
              <w:t xml:space="preserve"> 887</w:t>
            </w:r>
          </w:p>
        </w:tc>
        <w:tc>
          <w:tcPr>
            <w:tcW w:w="6236" w:type="dxa"/>
            <w:tcBorders>
              <w:top w:val="single" w:sz="6" w:space="0" w:color="auto"/>
              <w:left w:val="nil"/>
              <w:bottom w:val="single" w:sz="12" w:space="0" w:color="auto"/>
              <w:right w:val="nil"/>
            </w:tcBorders>
            <w:shd w:val="clear" w:color="auto" w:fill="FFFFFF"/>
          </w:tcPr>
          <w:p w:rsidR="009A3756" w:rsidRPr="0014694C" w:rsidRDefault="009A3756" w:rsidP="0014694C">
            <w:pPr>
              <w:autoSpaceDE w:val="0"/>
              <w:autoSpaceDN w:val="0"/>
              <w:adjustRightInd w:val="0"/>
              <w:spacing w:after="0"/>
              <w:ind w:left="340" w:hanging="227"/>
              <w:rPr>
                <w:rFonts w:ascii="Calibri" w:eastAsiaTheme="minorEastAsia" w:hAnsi="Calibri" w:cs="Calibri"/>
                <w:b/>
                <w:bCs/>
                <w:color w:val="000000"/>
                <w:sz w:val="22"/>
                <w:lang w:eastAsia="en-AU"/>
              </w:rPr>
            </w:pPr>
            <w:r w:rsidRPr="0014694C">
              <w:rPr>
                <w:rFonts w:ascii="Calibri" w:eastAsiaTheme="minorEastAsia" w:hAnsi="Calibri" w:cs="Calibri"/>
                <w:b/>
                <w:bCs/>
                <w:color w:val="000000"/>
                <w:sz w:val="22"/>
                <w:lang w:eastAsia="en-AU"/>
              </w:rPr>
              <w:t>Total purchases of non-financial assets</w:t>
            </w:r>
          </w:p>
        </w:tc>
        <w:tc>
          <w:tcPr>
            <w:tcW w:w="1134" w:type="dxa"/>
            <w:tcBorders>
              <w:top w:val="single" w:sz="6" w:space="0" w:color="auto"/>
              <w:left w:val="nil"/>
              <w:bottom w:val="single" w:sz="12" w:space="0" w:color="auto"/>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b/>
                <w:bCs/>
                <w:color w:val="000000"/>
                <w:sz w:val="22"/>
                <w:lang w:eastAsia="en-AU"/>
              </w:rPr>
            </w:pPr>
            <w:r w:rsidRPr="0014694C">
              <w:rPr>
                <w:rFonts w:ascii="Calibri" w:eastAsiaTheme="minorEastAsia" w:hAnsi="Calibri" w:cs="Calibri"/>
                <w:b/>
                <w:bCs/>
                <w:color w:val="000000"/>
                <w:sz w:val="22"/>
                <w:lang w:eastAsia="en-AU"/>
              </w:rPr>
              <w:t xml:space="preserve"> 948</w:t>
            </w:r>
          </w:p>
        </w:tc>
        <w:tc>
          <w:tcPr>
            <w:tcW w:w="1134" w:type="dxa"/>
            <w:tcBorders>
              <w:top w:val="single" w:sz="6" w:space="0" w:color="auto"/>
              <w:left w:val="nil"/>
              <w:bottom w:val="single" w:sz="12" w:space="0" w:color="auto"/>
              <w:right w:val="nil"/>
            </w:tcBorders>
            <w:shd w:val="clear" w:color="auto" w:fill="FFFFFF"/>
          </w:tcPr>
          <w:p w:rsidR="009A3756" w:rsidRPr="0014694C" w:rsidRDefault="009A3756" w:rsidP="0014694C">
            <w:pPr>
              <w:autoSpaceDE w:val="0"/>
              <w:autoSpaceDN w:val="0"/>
              <w:adjustRightInd w:val="0"/>
              <w:spacing w:after="0"/>
              <w:jc w:val="right"/>
              <w:rPr>
                <w:rFonts w:ascii="Calibri" w:eastAsiaTheme="minorEastAsia" w:hAnsi="Calibri" w:cs="Calibri"/>
                <w:b/>
                <w:bCs/>
                <w:color w:val="000000"/>
                <w:sz w:val="22"/>
                <w:lang w:eastAsia="en-AU"/>
              </w:rPr>
            </w:pPr>
            <w:r w:rsidRPr="0014694C">
              <w:rPr>
                <w:rFonts w:ascii="Calibri" w:eastAsiaTheme="minorEastAsia" w:hAnsi="Calibri" w:cs="Calibri"/>
                <w:b/>
                <w:bCs/>
                <w:color w:val="000000"/>
                <w:sz w:val="22"/>
                <w:lang w:eastAsia="en-AU"/>
              </w:rPr>
              <w:t>4 552</w:t>
            </w:r>
          </w:p>
        </w:tc>
      </w:tr>
      <w:tr w:rsidR="009A3756" w:rsidRPr="0014694C" w:rsidTr="009A3756">
        <w:trPr>
          <w:cantSplit/>
        </w:trPr>
        <w:tc>
          <w:tcPr>
            <w:tcW w:w="9638" w:type="dxa"/>
            <w:gridSpan w:val="4"/>
            <w:tcBorders>
              <w:top w:val="single" w:sz="12" w:space="0" w:color="auto"/>
              <w:left w:val="nil"/>
              <w:bottom w:val="nil"/>
              <w:right w:val="nil"/>
            </w:tcBorders>
            <w:shd w:val="clear" w:color="auto" w:fill="auto"/>
          </w:tcPr>
          <w:p w:rsidR="009A3756" w:rsidRPr="0014694C" w:rsidRDefault="009A3756" w:rsidP="0014694C">
            <w:pPr>
              <w:pStyle w:val="Notes"/>
              <w:rPr>
                <w:rFonts w:eastAsiaTheme="minorEastAsia"/>
                <w:lang w:eastAsia="en-AU"/>
              </w:rPr>
            </w:pPr>
            <w:r w:rsidRPr="0014694C">
              <w:rPr>
                <w:rFonts w:eastAsiaTheme="minorEastAsia"/>
                <w:lang w:eastAsia="en-AU"/>
              </w:rPr>
              <w:t>Notes:</w:t>
            </w:r>
          </w:p>
        </w:tc>
      </w:tr>
      <w:tr w:rsidR="009A3756" w:rsidRPr="0014694C" w:rsidTr="009A3756">
        <w:trPr>
          <w:cantSplit/>
        </w:trPr>
        <w:tc>
          <w:tcPr>
            <w:tcW w:w="9638" w:type="dxa"/>
            <w:gridSpan w:val="4"/>
            <w:tcBorders>
              <w:top w:val="nil"/>
              <w:left w:val="nil"/>
              <w:bottom w:val="nil"/>
              <w:right w:val="nil"/>
            </w:tcBorders>
          </w:tcPr>
          <w:p w:rsidR="009A3756" w:rsidRDefault="009A3756" w:rsidP="0014694C">
            <w:pPr>
              <w:pStyle w:val="Notes"/>
              <w:rPr>
                <w:rFonts w:eastAsiaTheme="minorEastAsia"/>
                <w:lang w:eastAsia="en-AU"/>
              </w:rPr>
            </w:pPr>
            <w:r>
              <w:rPr>
                <w:rFonts w:eastAsiaTheme="minorEastAsia"/>
                <w:lang w:eastAsia="en-AU"/>
              </w:rPr>
              <w:t>(a)</w:t>
            </w:r>
            <w:r>
              <w:rPr>
                <w:rFonts w:eastAsiaTheme="minorEastAsia"/>
                <w:lang w:eastAsia="en-AU"/>
              </w:rPr>
              <w:tab/>
              <w:t>Effective 1 January 2015 several departments were renamed due to machinery of government changes:</w:t>
            </w:r>
          </w:p>
          <w:p w:rsidR="009A3756" w:rsidRDefault="009A3756" w:rsidP="002421E4">
            <w:pPr>
              <w:pStyle w:val="NotesDash"/>
            </w:pPr>
            <w:r>
              <w:t>the Department of Education and Early Childhood Development was renamed the Department of Education and Training;</w:t>
            </w:r>
          </w:p>
          <w:p w:rsidR="009A3756" w:rsidRDefault="009A3756" w:rsidP="002421E4">
            <w:pPr>
              <w:pStyle w:val="NotesDash"/>
            </w:pPr>
            <w:r>
              <w:t>the Department of Environment and Primary Industries was renamed the Department of Environment, Land, Water and Planning;</w:t>
            </w:r>
          </w:p>
          <w:p w:rsidR="009A3756" w:rsidRDefault="009A3756" w:rsidP="002421E4">
            <w:pPr>
              <w:pStyle w:val="NotesDash"/>
            </w:pPr>
            <w:r>
              <w:t>the Department of Health was renamed the Department of Health and Human Services;</w:t>
            </w:r>
          </w:p>
          <w:p w:rsidR="009A3756" w:rsidRDefault="009A3756" w:rsidP="002421E4">
            <w:pPr>
              <w:pStyle w:val="NotesDash"/>
            </w:pPr>
            <w:r>
              <w:t xml:space="preserve">the Department of Justice was renamed the Department of Justice and Regulation; </w:t>
            </w:r>
          </w:p>
          <w:p w:rsidR="009A3756" w:rsidRDefault="009A3756" w:rsidP="002421E4">
            <w:pPr>
              <w:pStyle w:val="NotesDash"/>
            </w:pPr>
            <w:r>
              <w:t xml:space="preserve">the Department of State Development, Business and Innovation was renamed the Department of Economic Development, Jobs, Transport and Resources; </w:t>
            </w:r>
          </w:p>
          <w:p w:rsidR="009A3756" w:rsidRDefault="009A3756" w:rsidP="002421E4">
            <w:pPr>
              <w:pStyle w:val="NotesDash"/>
            </w:pPr>
            <w:r>
              <w:t xml:space="preserve">the Department of Human Services was abolished; and </w:t>
            </w:r>
          </w:p>
          <w:p w:rsidR="009A3756" w:rsidRDefault="009A3756" w:rsidP="002421E4">
            <w:pPr>
              <w:pStyle w:val="NotesDash"/>
            </w:pPr>
            <w:r>
              <w:t xml:space="preserve">the Department of Transport, Planning and Local Infrastructure was abolished. </w:t>
            </w:r>
          </w:p>
          <w:p w:rsidR="009A3756" w:rsidRPr="0014694C" w:rsidRDefault="009A3756" w:rsidP="0014694C">
            <w:pPr>
              <w:pStyle w:val="Notes"/>
              <w:rPr>
                <w:rFonts w:eastAsiaTheme="minorEastAsia"/>
                <w:lang w:eastAsia="en-AU"/>
              </w:rPr>
            </w:pPr>
            <w:r>
              <w:rPr>
                <w:rFonts w:eastAsiaTheme="minorEastAsia"/>
                <w:lang w:eastAsia="en-AU"/>
              </w:rPr>
              <w:tab/>
              <w:t>The two abolished departments had their functions and operations transferred to other Victorian government departments. Functions and operations of the Department of Human Services were transferred to the Department of Health and Human Services and to the Department of Premier and Cabinet. Functions and operations of the Department of Transport, Planning and Local Infrastructure were transferred to the Department of Environment, Land, Water and Planning, the Department of Health and Humans Services and to the Department of Economic Development, Jobs, Transport and Resources. Certain functions and operations of continuing Victorian government departments were also transferred amongst departments as part of the machinery of government changes. Controlled entities which have been transferred as part of the machinery of government changes are listed under their new portfolio departments.</w:t>
            </w:r>
          </w:p>
        </w:tc>
      </w:tr>
      <w:tr w:rsidR="009A3756" w:rsidRPr="0014694C" w:rsidTr="009A3756">
        <w:trPr>
          <w:cantSplit/>
        </w:trPr>
        <w:tc>
          <w:tcPr>
            <w:tcW w:w="9638" w:type="dxa"/>
            <w:gridSpan w:val="4"/>
            <w:tcBorders>
              <w:top w:val="nil"/>
              <w:left w:val="nil"/>
              <w:bottom w:val="nil"/>
              <w:right w:val="nil"/>
            </w:tcBorders>
          </w:tcPr>
          <w:p w:rsidR="009A3756" w:rsidRPr="0014694C" w:rsidRDefault="009A3756" w:rsidP="0014694C">
            <w:pPr>
              <w:pStyle w:val="Notes"/>
              <w:rPr>
                <w:rFonts w:eastAsiaTheme="minorEastAsia"/>
                <w:lang w:eastAsia="en-AU"/>
              </w:rPr>
            </w:pPr>
            <w:r>
              <w:rPr>
                <w:rFonts w:eastAsiaTheme="minorEastAsia"/>
                <w:lang w:eastAsia="en-AU"/>
              </w:rPr>
              <w:t>(b)</w:t>
            </w:r>
            <w:r>
              <w:rPr>
                <w:rFonts w:eastAsiaTheme="minorEastAsia"/>
                <w:lang w:eastAsia="en-AU"/>
              </w:rPr>
              <w:tab/>
              <w:t>Annual budget includes contingencies not allocated to departments and estimated departmental underspend.</w:t>
            </w:r>
          </w:p>
        </w:tc>
      </w:tr>
    </w:tbl>
    <w:p w:rsidR="00FD4DDE" w:rsidRDefault="00FD4DDE" w:rsidP="00AD7DCB">
      <w:pPr>
        <w:pStyle w:val="Heading2NotesQtrly"/>
      </w:pPr>
    </w:p>
    <w:p w:rsidR="00494B5B" w:rsidRDefault="00494B5B">
      <w:pPr>
        <w:spacing w:after="0"/>
        <w:rPr>
          <w:rFonts w:ascii="Calibri" w:hAnsi="Calibri"/>
          <w:b/>
          <w:kern w:val="28"/>
          <w:sz w:val="28"/>
          <w:szCs w:val="22"/>
        </w:rPr>
      </w:pPr>
      <w:r>
        <w:br w:type="page"/>
      </w:r>
    </w:p>
    <w:p w:rsidR="00BE1F0B" w:rsidRDefault="00E1277E" w:rsidP="00494B5B">
      <w:pPr>
        <w:pStyle w:val="Heading2NotesContd"/>
        <w:rPr>
          <w:rFonts w:ascii="Times New Roman" w:hAnsi="Times New Roman"/>
          <w:sz w:val="20"/>
          <w:lang w:eastAsia="en-AU"/>
        </w:rPr>
      </w:pPr>
      <w:r w:rsidRPr="00E1277E">
        <w:lastRenderedPageBreak/>
        <w:t>Note 15:</w:t>
      </w:r>
      <w:r w:rsidRPr="00E1277E">
        <w:tab/>
        <w:t>Assets by government purpose and by department</w:t>
      </w:r>
      <w:r>
        <w:t xml:space="preserve"> </w:t>
      </w:r>
      <w:r w:rsidRPr="00E1277E">
        <w:rPr>
          <w:i/>
        </w:rPr>
        <w:t>(continued)</w:t>
      </w:r>
    </w:p>
    <w:p w:rsidR="009A3756" w:rsidRDefault="009A3756" w:rsidP="009A3756">
      <w:pPr>
        <w:pStyle w:val="Tableheading"/>
      </w:pPr>
      <w:r w:rsidRPr="009A3756">
        <w:t>(b)</w:t>
      </w:r>
      <w:r w:rsidRPr="009A3756">
        <w:tab/>
        <w:t>Total assets class</w:t>
      </w:r>
      <w:r>
        <w:t>ified by government purpose</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9A3756" w:rsidRPr="00BE1F0B" w:rsidTr="009A3756">
        <w:tc>
          <w:tcPr>
            <w:tcW w:w="9638" w:type="dxa"/>
            <w:gridSpan w:val="4"/>
            <w:tcBorders>
              <w:top w:val="nil"/>
              <w:left w:val="nil"/>
              <w:bottom w:val="nil"/>
              <w:right w:val="nil"/>
            </w:tcBorders>
          </w:tcPr>
          <w:p w:rsidR="009A3756" w:rsidRPr="00BE1F0B" w:rsidRDefault="009A3756" w:rsidP="00BE1F0B">
            <w:pPr>
              <w:pStyle w:val="million"/>
              <w:rPr>
                <w:rFonts w:eastAsiaTheme="minorEastAsia"/>
                <w:lang w:eastAsia="en-AU"/>
              </w:rPr>
            </w:pPr>
            <w:r w:rsidRPr="00BE1F0B">
              <w:rPr>
                <w:rFonts w:eastAsiaTheme="minorEastAsia"/>
                <w:lang w:eastAsia="en-AU"/>
              </w:rPr>
              <w:t>($ million)</w:t>
            </w:r>
          </w:p>
        </w:tc>
      </w:tr>
      <w:tr w:rsidR="00DB2687" w:rsidRPr="00BE1F0B" w:rsidTr="009618F8">
        <w:tc>
          <w:tcPr>
            <w:tcW w:w="1134" w:type="dxa"/>
            <w:tcBorders>
              <w:top w:val="nil"/>
              <w:left w:val="nil"/>
              <w:bottom w:val="nil"/>
              <w:right w:val="nil"/>
            </w:tcBorders>
            <w:shd w:val="solid" w:color="000000" w:fill="auto"/>
          </w:tcPr>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2014-15</w:t>
            </w:r>
          </w:p>
        </w:tc>
        <w:tc>
          <w:tcPr>
            <w:tcW w:w="6236" w:type="dxa"/>
            <w:tcBorders>
              <w:top w:val="nil"/>
              <w:left w:val="nil"/>
              <w:bottom w:val="nil"/>
              <w:right w:val="nil"/>
            </w:tcBorders>
            <w:shd w:val="solid" w:color="000000" w:fill="auto"/>
          </w:tcPr>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 xml:space="preserve"> </w:t>
            </w:r>
          </w:p>
        </w:tc>
        <w:tc>
          <w:tcPr>
            <w:tcW w:w="2268" w:type="dxa"/>
            <w:gridSpan w:val="2"/>
            <w:tcBorders>
              <w:top w:val="nil"/>
              <w:left w:val="nil"/>
              <w:bottom w:val="nil"/>
              <w:right w:val="nil"/>
            </w:tcBorders>
            <w:shd w:val="solid" w:color="000000" w:fill="auto"/>
          </w:tcPr>
          <w:p w:rsidR="00DB2687" w:rsidRPr="00BE1F0B" w:rsidRDefault="00DB2687" w:rsidP="00DB2687">
            <w:pPr>
              <w:autoSpaceDE w:val="0"/>
              <w:autoSpaceDN w:val="0"/>
              <w:adjustRightInd w:val="0"/>
              <w:spacing w:after="0"/>
              <w:jc w:val="center"/>
              <w:rPr>
                <w:rFonts w:ascii="Calibri" w:eastAsiaTheme="minorEastAsia" w:hAnsi="Calibri" w:cs="Calibri"/>
                <w:i/>
                <w:iCs/>
                <w:color w:val="FFFFFF"/>
                <w:sz w:val="20"/>
                <w:lang w:eastAsia="en-AU"/>
              </w:rPr>
            </w:pPr>
            <w:r>
              <w:rPr>
                <w:rFonts w:ascii="Calibri" w:eastAsiaTheme="minorEastAsia" w:hAnsi="Calibri" w:cs="Calibri"/>
                <w:i/>
                <w:iCs/>
                <w:color w:val="FFFFFF"/>
                <w:sz w:val="22"/>
                <w:lang w:eastAsia="en-AU"/>
              </w:rPr>
              <w:t>2015-16</w:t>
            </w:r>
          </w:p>
        </w:tc>
      </w:tr>
      <w:tr w:rsidR="00DB2687" w:rsidRPr="00BE1F0B" w:rsidTr="00083552">
        <w:trPr>
          <w:trHeight w:val="537"/>
        </w:trPr>
        <w:tc>
          <w:tcPr>
            <w:tcW w:w="1134" w:type="dxa"/>
            <w:tcBorders>
              <w:top w:val="nil"/>
              <w:left w:val="nil"/>
              <w:right w:val="nil"/>
            </w:tcBorders>
            <w:shd w:val="solid" w:color="000000" w:fill="auto"/>
          </w:tcPr>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 xml:space="preserve">Actual </w:t>
            </w:r>
          </w:p>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Pr>
                <w:rFonts w:ascii="Calibri" w:eastAsiaTheme="minorEastAsia" w:hAnsi="Calibri" w:cs="Calibri"/>
                <w:i/>
                <w:iCs/>
                <w:color w:val="FFFFFF"/>
                <w:sz w:val="22"/>
                <w:lang w:eastAsia="en-AU"/>
              </w:rPr>
              <w:t>to Sep</w:t>
            </w:r>
            <w:r w:rsidRPr="00BE1F0B">
              <w:rPr>
                <w:rFonts w:ascii="Calibri" w:eastAsiaTheme="minorEastAsia" w:hAnsi="Calibri" w:cs="Calibri"/>
                <w:i/>
                <w:iCs/>
                <w:color w:val="FFFFFF"/>
                <w:sz w:val="22"/>
                <w:vertAlign w:val="superscript"/>
                <w:lang w:eastAsia="en-AU"/>
              </w:rPr>
              <w:t>(a)</w:t>
            </w:r>
          </w:p>
        </w:tc>
        <w:tc>
          <w:tcPr>
            <w:tcW w:w="6236" w:type="dxa"/>
            <w:tcBorders>
              <w:top w:val="nil"/>
              <w:left w:val="nil"/>
              <w:right w:val="nil"/>
            </w:tcBorders>
            <w:shd w:val="solid" w:color="000000" w:fill="auto"/>
          </w:tcPr>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 xml:space="preserve"> </w:t>
            </w:r>
          </w:p>
          <w:p w:rsidR="00DB2687" w:rsidRPr="00BE1F0B" w:rsidRDefault="00DB2687" w:rsidP="00BE1F0B">
            <w:pPr>
              <w:autoSpaceDE w:val="0"/>
              <w:autoSpaceDN w:val="0"/>
              <w:adjustRightInd w:val="0"/>
              <w:spacing w:after="0"/>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 xml:space="preserve"> </w:t>
            </w:r>
          </w:p>
        </w:tc>
        <w:tc>
          <w:tcPr>
            <w:tcW w:w="1134" w:type="dxa"/>
            <w:tcBorders>
              <w:top w:val="nil"/>
              <w:left w:val="nil"/>
              <w:right w:val="nil"/>
            </w:tcBorders>
            <w:shd w:val="solid" w:color="000000" w:fill="auto"/>
          </w:tcPr>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 xml:space="preserve">Actual </w:t>
            </w:r>
          </w:p>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to Sep</w:t>
            </w:r>
          </w:p>
        </w:tc>
        <w:tc>
          <w:tcPr>
            <w:tcW w:w="1134" w:type="dxa"/>
            <w:tcBorders>
              <w:top w:val="nil"/>
              <w:left w:val="nil"/>
              <w:right w:val="nil"/>
            </w:tcBorders>
            <w:shd w:val="solid" w:color="000000" w:fill="auto"/>
          </w:tcPr>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 xml:space="preserve">Budget  </w:t>
            </w:r>
          </w:p>
          <w:p w:rsidR="00DB2687" w:rsidRPr="00BE1F0B" w:rsidRDefault="00DB2687" w:rsidP="00BE1F0B">
            <w:pPr>
              <w:autoSpaceDE w:val="0"/>
              <w:autoSpaceDN w:val="0"/>
              <w:adjustRightInd w:val="0"/>
              <w:spacing w:after="0"/>
              <w:jc w:val="right"/>
              <w:rPr>
                <w:rFonts w:ascii="Calibri" w:eastAsiaTheme="minorEastAsia" w:hAnsi="Calibri" w:cs="Calibri"/>
                <w:i/>
                <w:iCs/>
                <w:color w:val="FFFFFF"/>
                <w:sz w:val="22"/>
                <w:lang w:eastAsia="en-AU"/>
              </w:rPr>
            </w:pPr>
            <w:r w:rsidRPr="00BE1F0B">
              <w:rPr>
                <w:rFonts w:ascii="Calibri" w:eastAsiaTheme="minorEastAsia" w:hAnsi="Calibri" w:cs="Calibri"/>
                <w:i/>
                <w:iCs/>
                <w:color w:val="FFFFFF"/>
                <w:sz w:val="22"/>
                <w:lang w:eastAsia="en-AU"/>
              </w:rPr>
              <w:t>30 Jun</w:t>
            </w:r>
            <w:r w:rsidRPr="00963145">
              <w:rPr>
                <w:rFonts w:ascii="Calibri" w:eastAsiaTheme="minorEastAsia" w:hAnsi="Calibri" w:cs="Calibri"/>
                <w:i/>
                <w:iCs/>
                <w:color w:val="FFFFFF"/>
                <w:sz w:val="22"/>
                <w:vertAlign w:val="superscript"/>
                <w:lang w:eastAsia="en-AU"/>
              </w:rPr>
              <w:t>(a)</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1 013</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General public services</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1 160</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1 114</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8 699</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Public order and safety</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8 754</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8 999</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18 405</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Education</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19 060</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19 114</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12 848</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Health</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12 214</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13 382</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1 089</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Social security and welfare </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2 039</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1 899</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7 253</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Housing and community amenities</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7 140</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7 153</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8 276</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Recreation and culture</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8 090</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8 448</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28</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Fuel and energy</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46</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11</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625</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Agriculture, forestry, fishing, and hunting</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557</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686</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47 529</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Transport and communications</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49 269</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49 534</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956</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Other economic affairs</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727</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690</w:t>
            </w:r>
          </w:p>
        </w:tc>
      </w:tr>
      <w:tr w:rsidR="009A3756" w:rsidRPr="00BE1F0B" w:rsidTr="009A3756">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2</w:t>
            </w:r>
          </w:p>
        </w:tc>
        <w:tc>
          <w:tcPr>
            <w:tcW w:w="6236" w:type="dxa"/>
            <w:tcBorders>
              <w:top w:val="nil"/>
              <w:left w:val="nil"/>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Other purposes </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2</w:t>
            </w:r>
          </w:p>
        </w:tc>
        <w:tc>
          <w:tcPr>
            <w:tcW w:w="1134" w:type="dxa"/>
            <w:tcBorders>
              <w:top w:val="nil"/>
              <w:left w:val="nil"/>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 xml:space="preserve"> 2</w:t>
            </w:r>
          </w:p>
        </w:tc>
      </w:tr>
      <w:tr w:rsidR="009A3756" w:rsidRPr="00BE1F0B" w:rsidTr="009A3756">
        <w:tc>
          <w:tcPr>
            <w:tcW w:w="1134" w:type="dxa"/>
            <w:tcBorders>
              <w:top w:val="nil"/>
              <w:left w:val="nil"/>
              <w:bottom w:val="single" w:sz="6" w:space="0" w:color="auto"/>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92 918</w:t>
            </w:r>
          </w:p>
        </w:tc>
        <w:tc>
          <w:tcPr>
            <w:tcW w:w="6236" w:type="dxa"/>
            <w:tcBorders>
              <w:top w:val="nil"/>
              <w:left w:val="nil"/>
              <w:bottom w:val="single" w:sz="6" w:space="0" w:color="auto"/>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Not allocated by purpose</w:t>
            </w:r>
          </w:p>
        </w:tc>
        <w:tc>
          <w:tcPr>
            <w:tcW w:w="1134" w:type="dxa"/>
            <w:tcBorders>
              <w:top w:val="nil"/>
              <w:left w:val="nil"/>
              <w:bottom w:val="single" w:sz="6" w:space="0" w:color="auto"/>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100 477</w:t>
            </w:r>
          </w:p>
        </w:tc>
        <w:tc>
          <w:tcPr>
            <w:tcW w:w="1134" w:type="dxa"/>
            <w:tcBorders>
              <w:top w:val="nil"/>
              <w:left w:val="nil"/>
              <w:bottom w:val="single" w:sz="6" w:space="0" w:color="auto"/>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color w:val="000000"/>
                <w:sz w:val="22"/>
                <w:lang w:eastAsia="en-AU"/>
              </w:rPr>
            </w:pPr>
            <w:r w:rsidRPr="00BE1F0B">
              <w:rPr>
                <w:rFonts w:ascii="Calibri" w:eastAsiaTheme="minorEastAsia" w:hAnsi="Calibri" w:cs="Calibri"/>
                <w:color w:val="000000"/>
                <w:sz w:val="22"/>
                <w:lang w:eastAsia="en-AU"/>
              </w:rPr>
              <w:t>100 397</w:t>
            </w:r>
          </w:p>
        </w:tc>
      </w:tr>
      <w:tr w:rsidR="009A3756" w:rsidRPr="00BE1F0B" w:rsidTr="009A3756">
        <w:tc>
          <w:tcPr>
            <w:tcW w:w="1134" w:type="dxa"/>
            <w:tcBorders>
              <w:top w:val="single" w:sz="6" w:space="0" w:color="auto"/>
              <w:left w:val="nil"/>
              <w:bottom w:val="single" w:sz="12" w:space="0" w:color="auto"/>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b/>
                <w:bCs/>
                <w:color w:val="000000"/>
                <w:sz w:val="22"/>
                <w:lang w:eastAsia="en-AU"/>
              </w:rPr>
            </w:pPr>
            <w:r w:rsidRPr="00BE1F0B">
              <w:rPr>
                <w:rFonts w:ascii="Calibri" w:eastAsiaTheme="minorEastAsia" w:hAnsi="Calibri" w:cs="Calibri"/>
                <w:b/>
                <w:bCs/>
                <w:color w:val="000000"/>
                <w:sz w:val="22"/>
                <w:lang w:eastAsia="en-AU"/>
              </w:rPr>
              <w:t>199 638</w:t>
            </w:r>
          </w:p>
        </w:tc>
        <w:tc>
          <w:tcPr>
            <w:tcW w:w="6236" w:type="dxa"/>
            <w:tcBorders>
              <w:top w:val="single" w:sz="6" w:space="0" w:color="auto"/>
              <w:left w:val="nil"/>
              <w:bottom w:val="single" w:sz="12" w:space="0" w:color="auto"/>
              <w:right w:val="nil"/>
            </w:tcBorders>
            <w:shd w:val="clear" w:color="auto" w:fill="FFFFFF"/>
          </w:tcPr>
          <w:p w:rsidR="009A3756" w:rsidRPr="00BE1F0B" w:rsidRDefault="009A3756" w:rsidP="00BE1F0B">
            <w:pPr>
              <w:autoSpaceDE w:val="0"/>
              <w:autoSpaceDN w:val="0"/>
              <w:adjustRightInd w:val="0"/>
              <w:spacing w:after="0"/>
              <w:ind w:left="340" w:hanging="227"/>
              <w:rPr>
                <w:rFonts w:ascii="Calibri" w:eastAsiaTheme="minorEastAsia" w:hAnsi="Calibri" w:cs="Calibri"/>
                <w:b/>
                <w:bCs/>
                <w:color w:val="000000"/>
                <w:sz w:val="22"/>
                <w:lang w:eastAsia="en-AU"/>
              </w:rPr>
            </w:pPr>
            <w:r w:rsidRPr="00BE1F0B">
              <w:rPr>
                <w:rFonts w:ascii="Calibri" w:eastAsiaTheme="minorEastAsia" w:hAnsi="Calibri" w:cs="Calibri"/>
                <w:b/>
                <w:bCs/>
                <w:color w:val="000000"/>
                <w:sz w:val="22"/>
                <w:lang w:eastAsia="en-AU"/>
              </w:rPr>
              <w:t>Total assets</w:t>
            </w:r>
          </w:p>
        </w:tc>
        <w:tc>
          <w:tcPr>
            <w:tcW w:w="1134" w:type="dxa"/>
            <w:tcBorders>
              <w:top w:val="single" w:sz="6" w:space="0" w:color="auto"/>
              <w:left w:val="nil"/>
              <w:bottom w:val="single" w:sz="12" w:space="0" w:color="auto"/>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b/>
                <w:bCs/>
                <w:color w:val="000000"/>
                <w:sz w:val="22"/>
                <w:lang w:eastAsia="en-AU"/>
              </w:rPr>
            </w:pPr>
            <w:r w:rsidRPr="00BE1F0B">
              <w:rPr>
                <w:rFonts w:ascii="Calibri" w:eastAsiaTheme="minorEastAsia" w:hAnsi="Calibri" w:cs="Calibri"/>
                <w:b/>
                <w:bCs/>
                <w:color w:val="000000"/>
                <w:sz w:val="22"/>
                <w:lang w:eastAsia="en-AU"/>
              </w:rPr>
              <w:t>209 534</w:t>
            </w:r>
          </w:p>
        </w:tc>
        <w:tc>
          <w:tcPr>
            <w:tcW w:w="1134" w:type="dxa"/>
            <w:tcBorders>
              <w:top w:val="single" w:sz="6" w:space="0" w:color="auto"/>
              <w:left w:val="nil"/>
              <w:bottom w:val="single" w:sz="12" w:space="0" w:color="auto"/>
              <w:right w:val="nil"/>
            </w:tcBorders>
            <w:shd w:val="clear" w:color="auto" w:fill="FFFFFF"/>
          </w:tcPr>
          <w:p w:rsidR="009A3756" w:rsidRPr="00BE1F0B" w:rsidRDefault="009A3756" w:rsidP="00BE1F0B">
            <w:pPr>
              <w:autoSpaceDE w:val="0"/>
              <w:autoSpaceDN w:val="0"/>
              <w:adjustRightInd w:val="0"/>
              <w:spacing w:after="0"/>
              <w:jc w:val="right"/>
              <w:rPr>
                <w:rFonts w:ascii="Calibri" w:eastAsiaTheme="minorEastAsia" w:hAnsi="Calibri" w:cs="Calibri"/>
                <w:b/>
                <w:bCs/>
                <w:color w:val="000000"/>
                <w:sz w:val="22"/>
                <w:lang w:eastAsia="en-AU"/>
              </w:rPr>
            </w:pPr>
            <w:r w:rsidRPr="00BE1F0B">
              <w:rPr>
                <w:rFonts w:ascii="Calibri" w:eastAsiaTheme="minorEastAsia" w:hAnsi="Calibri" w:cs="Calibri"/>
                <w:b/>
                <w:bCs/>
                <w:color w:val="000000"/>
                <w:sz w:val="22"/>
                <w:lang w:eastAsia="en-AU"/>
              </w:rPr>
              <w:t>211 431</w:t>
            </w:r>
          </w:p>
        </w:tc>
      </w:tr>
      <w:tr w:rsidR="009A3756" w:rsidRPr="00BE1F0B" w:rsidTr="009A3756">
        <w:tc>
          <w:tcPr>
            <w:tcW w:w="9638" w:type="dxa"/>
            <w:gridSpan w:val="4"/>
            <w:tcBorders>
              <w:top w:val="single" w:sz="12" w:space="0" w:color="auto"/>
              <w:left w:val="nil"/>
              <w:bottom w:val="nil"/>
              <w:right w:val="nil"/>
            </w:tcBorders>
            <w:shd w:val="clear" w:color="auto" w:fill="auto"/>
          </w:tcPr>
          <w:p w:rsidR="009A3756" w:rsidRPr="00BE1F0B" w:rsidRDefault="009A3756" w:rsidP="00BE1F0B">
            <w:pPr>
              <w:pStyle w:val="Notes"/>
              <w:rPr>
                <w:rFonts w:eastAsiaTheme="minorEastAsia"/>
                <w:lang w:eastAsia="en-AU"/>
              </w:rPr>
            </w:pPr>
            <w:r w:rsidRPr="00BE1F0B">
              <w:rPr>
                <w:rFonts w:eastAsiaTheme="minorEastAsia"/>
                <w:lang w:eastAsia="en-AU"/>
              </w:rPr>
              <w:t>Note:</w:t>
            </w:r>
          </w:p>
        </w:tc>
      </w:tr>
      <w:tr w:rsidR="009A3756" w:rsidRPr="00BE1F0B" w:rsidTr="009A3756">
        <w:tc>
          <w:tcPr>
            <w:tcW w:w="9638" w:type="dxa"/>
            <w:gridSpan w:val="4"/>
            <w:tcBorders>
              <w:top w:val="nil"/>
              <w:left w:val="nil"/>
              <w:bottom w:val="nil"/>
              <w:right w:val="nil"/>
            </w:tcBorders>
          </w:tcPr>
          <w:p w:rsidR="009A3756" w:rsidRPr="00BE1F0B" w:rsidRDefault="009A3756" w:rsidP="00BE1F0B">
            <w:pPr>
              <w:pStyle w:val="Notes"/>
              <w:ind w:left="0" w:firstLine="0"/>
              <w:rPr>
                <w:rFonts w:eastAsiaTheme="minorEastAsia"/>
                <w:lang w:eastAsia="en-AU"/>
              </w:rPr>
            </w:pPr>
            <w:r>
              <w:rPr>
                <w:rFonts w:eastAsiaTheme="minorEastAsia"/>
                <w:lang w:eastAsia="en-AU"/>
              </w:rPr>
              <w:t>(a)</w:t>
            </w:r>
            <w:r>
              <w:rPr>
                <w:rFonts w:eastAsiaTheme="minorEastAsia"/>
                <w:lang w:eastAsia="en-AU"/>
              </w:rPr>
              <w:tab/>
              <w:t xml:space="preserve">September 2014-15 actual comparative figures and </w:t>
            </w:r>
            <w:r w:rsidRPr="00B93D58">
              <w:rPr>
                <w:rFonts w:eastAsiaTheme="minorEastAsia"/>
                <w:i w:val="0"/>
                <w:lang w:eastAsia="en-AU"/>
              </w:rPr>
              <w:t xml:space="preserve">2015-16 Budget </w:t>
            </w:r>
            <w:r>
              <w:rPr>
                <w:rFonts w:eastAsiaTheme="minorEastAsia"/>
                <w:lang w:eastAsia="en-AU"/>
              </w:rPr>
              <w:t>figures have been restated to reflect more current information</w:t>
            </w:r>
          </w:p>
        </w:tc>
      </w:tr>
    </w:tbl>
    <w:p w:rsidR="003E7CD7" w:rsidRPr="00BE1F0B" w:rsidRDefault="003E7CD7" w:rsidP="00BE1F0B">
      <w:pPr>
        <w:pStyle w:val="Notes"/>
        <w:rPr>
          <w:rFonts w:eastAsiaTheme="minorEastAsia"/>
          <w:lang w:eastAsia="en-AU"/>
        </w:rPr>
      </w:pPr>
    </w:p>
    <w:p w:rsidR="007444E7" w:rsidRDefault="007444E7">
      <w:r>
        <w:rPr>
          <w:b/>
        </w:rPr>
        <w:br w:type="page"/>
      </w:r>
    </w:p>
    <w:p w:rsidR="009A3756" w:rsidRDefault="009A3756" w:rsidP="009A3756">
      <w:pPr>
        <w:pStyle w:val="Heading2NotesQtrly"/>
      </w:pPr>
      <w:bookmarkStart w:id="26" w:name="_Toc435107448"/>
      <w:r>
        <w:lastRenderedPageBreak/>
        <w:t>Note 16:</w:t>
      </w:r>
      <w:r>
        <w:tab/>
        <w:t>Payables</w:t>
      </w:r>
      <w:bookmarkEnd w:id="26"/>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953F23" w:rsidTr="009A3756">
        <w:trPr>
          <w:cantSplit/>
          <w:tblHeader/>
        </w:trPr>
        <w:tc>
          <w:tcPr>
            <w:tcW w:w="9638" w:type="dxa"/>
            <w:gridSpan w:val="5"/>
            <w:tcBorders>
              <w:top w:val="nil"/>
              <w:left w:val="nil"/>
              <w:bottom w:val="nil"/>
              <w:right w:val="nil"/>
            </w:tcBorders>
          </w:tcPr>
          <w:p w:rsidR="009A3756" w:rsidRPr="00953F23" w:rsidRDefault="009A3756" w:rsidP="00953F23">
            <w:pPr>
              <w:pStyle w:val="million"/>
              <w:rPr>
                <w:rFonts w:eastAsiaTheme="minorEastAsia"/>
                <w:lang w:eastAsia="en-AU"/>
              </w:rPr>
            </w:pPr>
            <w:r w:rsidRPr="00953F23">
              <w:rPr>
                <w:rFonts w:eastAsiaTheme="minorEastAsia"/>
                <w:lang w:eastAsia="en-AU"/>
              </w:rPr>
              <w:t>($ million)</w:t>
            </w:r>
          </w:p>
        </w:tc>
      </w:tr>
      <w:tr w:rsidR="009A3756" w:rsidRPr="00953F23" w:rsidTr="009A3756">
        <w:trPr>
          <w:cantSplit/>
          <w:tblHeader/>
        </w:trPr>
        <w:tc>
          <w:tcPr>
            <w:tcW w:w="1134"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tc>
      </w:tr>
      <w:tr w:rsidR="00DB2687" w:rsidRPr="00953F23" w:rsidTr="00F30862">
        <w:trPr>
          <w:cantSplit/>
          <w:trHeight w:val="537"/>
          <w:tblHeader/>
        </w:trPr>
        <w:tc>
          <w:tcPr>
            <w:tcW w:w="1134" w:type="dxa"/>
            <w:tcBorders>
              <w:top w:val="nil"/>
              <w:left w:val="nil"/>
              <w:right w:val="nil"/>
            </w:tcBorders>
            <w:shd w:val="solid" w:color="000000" w:fill="auto"/>
          </w:tcPr>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Actual</w:t>
            </w:r>
          </w:p>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30 Sep</w:t>
            </w:r>
            <w:r w:rsidRPr="00953F23">
              <w:rPr>
                <w:rFonts w:ascii="Calibri" w:eastAsiaTheme="minorEastAsia" w:hAnsi="Calibri" w:cs="Calibri"/>
                <w:i/>
                <w:iCs/>
                <w:color w:val="FFFFFF"/>
                <w:sz w:val="22"/>
                <w:szCs w:val="22"/>
                <w:vertAlign w:val="superscript"/>
                <w:lang w:eastAsia="en-AU"/>
              </w:rPr>
              <w:t>(a)</w:t>
            </w:r>
          </w:p>
        </w:tc>
        <w:tc>
          <w:tcPr>
            <w:tcW w:w="5102" w:type="dxa"/>
            <w:tcBorders>
              <w:top w:val="nil"/>
              <w:left w:val="nil"/>
              <w:right w:val="nil"/>
            </w:tcBorders>
            <w:shd w:val="solid" w:color="000000" w:fill="auto"/>
          </w:tcPr>
          <w:p w:rsidR="00DB2687" w:rsidRPr="00953F23" w:rsidRDefault="00DB2687" w:rsidP="00953F23">
            <w:pPr>
              <w:autoSpaceDE w:val="0"/>
              <w:autoSpaceDN w:val="0"/>
              <w:adjustRightInd w:val="0"/>
              <w:spacing w:after="0"/>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p w:rsidR="00DB2687" w:rsidRPr="00953F23" w:rsidRDefault="00DB2687" w:rsidP="00953F23">
            <w:pPr>
              <w:autoSpaceDE w:val="0"/>
              <w:autoSpaceDN w:val="0"/>
              <w:adjustRightInd w:val="0"/>
              <w:spacing w:after="0"/>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Opening</w:t>
            </w:r>
          </w:p>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tcPr>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Actual</w:t>
            </w:r>
          </w:p>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30 Sep</w:t>
            </w:r>
          </w:p>
        </w:tc>
        <w:tc>
          <w:tcPr>
            <w:tcW w:w="1134" w:type="dxa"/>
            <w:tcBorders>
              <w:top w:val="nil"/>
              <w:left w:val="nil"/>
              <w:right w:val="nil"/>
            </w:tcBorders>
            <w:shd w:val="solid" w:color="000000" w:fill="auto"/>
          </w:tcPr>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Budget</w:t>
            </w:r>
          </w:p>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30 Jun</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Contractual</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1 060</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Accounts payable</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1 158</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1 238</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1 146</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1 932</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Accrued expenses</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2 172</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1 673</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1 972</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2 080</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Unearned income</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2 332</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2 405</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2 273</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Statutory</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r>
      <w:tr w:rsidR="009A3756" w:rsidRPr="00953F23" w:rsidTr="009A3756">
        <w:trPr>
          <w:cantSplit/>
        </w:trPr>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39</w:t>
            </w:r>
          </w:p>
        </w:tc>
        <w:tc>
          <w:tcPr>
            <w:tcW w:w="5102"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Accrued taxes payable</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43</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39</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44</w:t>
            </w:r>
          </w:p>
        </w:tc>
      </w:tr>
      <w:tr w:rsidR="009A3756" w:rsidRPr="00953F23"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5 112</w:t>
            </w:r>
          </w:p>
        </w:tc>
        <w:tc>
          <w:tcPr>
            <w:tcW w:w="5102"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Total payables</w:t>
            </w:r>
          </w:p>
        </w:tc>
        <w:tc>
          <w:tcPr>
            <w:tcW w:w="1134"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5 704</w:t>
            </w:r>
          </w:p>
        </w:tc>
        <w:tc>
          <w:tcPr>
            <w:tcW w:w="1134"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5 355</w:t>
            </w:r>
          </w:p>
        </w:tc>
        <w:tc>
          <w:tcPr>
            <w:tcW w:w="1134"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5 434</w:t>
            </w:r>
          </w:p>
        </w:tc>
      </w:tr>
      <w:tr w:rsidR="009A3756" w:rsidRPr="00953F23" w:rsidTr="009A3756">
        <w:trPr>
          <w:cantSplit/>
        </w:trPr>
        <w:tc>
          <w:tcPr>
            <w:tcW w:w="1134" w:type="dxa"/>
            <w:tcBorders>
              <w:top w:val="single" w:sz="12" w:space="0" w:color="000000"/>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5102" w:type="dxa"/>
            <w:tcBorders>
              <w:top w:val="single" w:sz="12" w:space="0" w:color="000000"/>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Represented by:</w:t>
            </w:r>
          </w:p>
        </w:tc>
        <w:tc>
          <w:tcPr>
            <w:tcW w:w="1134" w:type="dxa"/>
            <w:tcBorders>
              <w:top w:val="single" w:sz="12" w:space="0" w:color="000000"/>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single" w:sz="12" w:space="0" w:color="000000"/>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3 425</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Current payables</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3 776</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3 424</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3 605</w:t>
            </w:r>
          </w:p>
        </w:tc>
      </w:tr>
      <w:tr w:rsidR="009A3756" w:rsidRPr="00953F23" w:rsidTr="009A3756">
        <w:trPr>
          <w:cantSplit/>
        </w:trPr>
        <w:tc>
          <w:tcPr>
            <w:tcW w:w="1134" w:type="dxa"/>
            <w:tcBorders>
              <w:top w:val="nil"/>
              <w:left w:val="nil"/>
              <w:bottom w:val="single" w:sz="12" w:space="0" w:color="auto"/>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1 687</w:t>
            </w:r>
          </w:p>
        </w:tc>
        <w:tc>
          <w:tcPr>
            <w:tcW w:w="5102" w:type="dxa"/>
            <w:tcBorders>
              <w:top w:val="nil"/>
              <w:left w:val="nil"/>
              <w:bottom w:val="single" w:sz="12" w:space="0" w:color="auto"/>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Non-current payables</w:t>
            </w:r>
          </w:p>
        </w:tc>
        <w:tc>
          <w:tcPr>
            <w:tcW w:w="1134" w:type="dxa"/>
            <w:tcBorders>
              <w:top w:val="nil"/>
              <w:left w:val="nil"/>
              <w:bottom w:val="single" w:sz="12" w:space="0" w:color="auto"/>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1 928</w:t>
            </w:r>
          </w:p>
        </w:tc>
        <w:tc>
          <w:tcPr>
            <w:tcW w:w="1134" w:type="dxa"/>
            <w:tcBorders>
              <w:top w:val="nil"/>
              <w:left w:val="nil"/>
              <w:bottom w:val="single" w:sz="12" w:space="0" w:color="auto"/>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1 931</w:t>
            </w:r>
          </w:p>
        </w:tc>
        <w:tc>
          <w:tcPr>
            <w:tcW w:w="1134" w:type="dxa"/>
            <w:tcBorders>
              <w:top w:val="nil"/>
              <w:left w:val="nil"/>
              <w:bottom w:val="single" w:sz="12" w:space="0" w:color="auto"/>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1 829</w:t>
            </w:r>
          </w:p>
        </w:tc>
      </w:tr>
      <w:tr w:rsidR="009A3756" w:rsidRPr="00953F23" w:rsidTr="009A3756">
        <w:trPr>
          <w:cantSplit/>
        </w:trPr>
        <w:tc>
          <w:tcPr>
            <w:tcW w:w="9638" w:type="dxa"/>
            <w:gridSpan w:val="5"/>
            <w:tcBorders>
              <w:top w:val="single" w:sz="12" w:space="0" w:color="auto"/>
              <w:left w:val="nil"/>
              <w:bottom w:val="nil"/>
              <w:right w:val="nil"/>
            </w:tcBorders>
            <w:shd w:val="clear" w:color="auto" w:fill="auto"/>
          </w:tcPr>
          <w:p w:rsidR="009A3756" w:rsidRPr="00953F23" w:rsidRDefault="009A3756" w:rsidP="00953F23">
            <w:pPr>
              <w:pStyle w:val="Notes"/>
              <w:rPr>
                <w:rFonts w:eastAsiaTheme="minorEastAsia"/>
                <w:lang w:eastAsia="en-AU"/>
              </w:rPr>
            </w:pPr>
            <w:r w:rsidRPr="00953F23">
              <w:rPr>
                <w:rFonts w:eastAsiaTheme="minorEastAsia"/>
                <w:lang w:eastAsia="en-AU"/>
              </w:rPr>
              <w:t>Note:</w:t>
            </w:r>
          </w:p>
        </w:tc>
      </w:tr>
      <w:tr w:rsidR="009A3756" w:rsidRPr="00953F23" w:rsidTr="009A3756">
        <w:trPr>
          <w:cantSplit/>
        </w:trPr>
        <w:tc>
          <w:tcPr>
            <w:tcW w:w="9638" w:type="dxa"/>
            <w:gridSpan w:val="5"/>
            <w:tcBorders>
              <w:top w:val="nil"/>
              <w:left w:val="nil"/>
              <w:bottom w:val="nil"/>
              <w:right w:val="nil"/>
            </w:tcBorders>
          </w:tcPr>
          <w:p w:rsidR="009A3756" w:rsidRPr="00953F23" w:rsidRDefault="009A3756" w:rsidP="00953F23">
            <w:pPr>
              <w:pStyle w:val="Notes"/>
              <w:rPr>
                <w:rFonts w:eastAsiaTheme="minorEastAsia"/>
                <w:lang w:eastAsia="en-AU"/>
              </w:rPr>
            </w:pPr>
            <w:r>
              <w:rPr>
                <w:rFonts w:eastAsiaTheme="minorEastAsia"/>
                <w:lang w:eastAsia="en-AU"/>
              </w:rPr>
              <w:t>(a)</w:t>
            </w:r>
            <w:r>
              <w:rPr>
                <w:rFonts w:eastAsiaTheme="minorEastAsia"/>
                <w:lang w:eastAsia="en-AU"/>
              </w:rPr>
              <w:tab/>
              <w:t>September 2014-15 comparative figures have been restated to reflect more current information.</w:t>
            </w:r>
          </w:p>
        </w:tc>
      </w:tr>
    </w:tbl>
    <w:p w:rsidR="007444E7" w:rsidRDefault="007444E7" w:rsidP="007444E7"/>
    <w:p w:rsidR="00953F23" w:rsidRDefault="00953F23" w:rsidP="007444E7">
      <w:pPr>
        <w:rPr>
          <w:rFonts w:ascii="Times New Roman" w:hAnsi="Times New Roman"/>
          <w:sz w:val="20"/>
          <w:lang w:eastAsia="en-AU"/>
        </w:rPr>
      </w:pPr>
    </w:p>
    <w:p w:rsidR="009A3756" w:rsidRDefault="009A3756" w:rsidP="009A3756">
      <w:pPr>
        <w:pStyle w:val="Heading2NotesQtrly"/>
      </w:pPr>
      <w:bookmarkStart w:id="27" w:name="_Toc435107449"/>
      <w:r w:rsidRPr="009A3756">
        <w:t>N</w:t>
      </w:r>
      <w:r>
        <w:t>ote 17:</w:t>
      </w:r>
      <w:r>
        <w:tab/>
        <w:t>Employee benefits</w:t>
      </w:r>
      <w:bookmarkEnd w:id="27"/>
    </w:p>
    <w:tbl>
      <w:tblPr>
        <w:tblW w:w="9638" w:type="dxa"/>
        <w:tblInd w:w="28" w:type="dxa"/>
        <w:tblLayout w:type="fixed"/>
        <w:tblCellMar>
          <w:left w:w="28" w:type="dxa"/>
          <w:right w:w="28" w:type="dxa"/>
        </w:tblCellMar>
        <w:tblLook w:val="0000" w:firstRow="0" w:lastRow="0" w:firstColumn="0" w:lastColumn="0" w:noHBand="0" w:noVBand="0"/>
      </w:tblPr>
      <w:tblGrid>
        <w:gridCol w:w="1134"/>
        <w:gridCol w:w="5102"/>
        <w:gridCol w:w="1134"/>
        <w:gridCol w:w="1134"/>
        <w:gridCol w:w="1134"/>
      </w:tblGrid>
      <w:tr w:rsidR="009A3756" w:rsidRPr="00953F23" w:rsidTr="009A3756">
        <w:trPr>
          <w:cantSplit/>
          <w:tblHeader/>
        </w:trPr>
        <w:tc>
          <w:tcPr>
            <w:tcW w:w="9638" w:type="dxa"/>
            <w:gridSpan w:val="5"/>
            <w:tcBorders>
              <w:top w:val="nil"/>
              <w:left w:val="nil"/>
              <w:bottom w:val="nil"/>
              <w:right w:val="nil"/>
            </w:tcBorders>
          </w:tcPr>
          <w:p w:rsidR="009A3756" w:rsidRPr="00953F23" w:rsidRDefault="009A3756" w:rsidP="00953F23">
            <w:pPr>
              <w:pStyle w:val="million"/>
              <w:rPr>
                <w:rFonts w:eastAsiaTheme="minorEastAsia"/>
                <w:lang w:eastAsia="en-AU"/>
              </w:rPr>
            </w:pPr>
            <w:r w:rsidRPr="00953F23">
              <w:rPr>
                <w:rFonts w:eastAsiaTheme="minorEastAsia"/>
                <w:lang w:eastAsia="en-AU"/>
              </w:rPr>
              <w:t>($ million)</w:t>
            </w:r>
          </w:p>
        </w:tc>
      </w:tr>
      <w:tr w:rsidR="009A3756" w:rsidRPr="00953F23" w:rsidTr="009A3756">
        <w:trPr>
          <w:cantSplit/>
          <w:tblHeader/>
        </w:trPr>
        <w:tc>
          <w:tcPr>
            <w:tcW w:w="1134"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2014-15</w:t>
            </w:r>
          </w:p>
        </w:tc>
        <w:tc>
          <w:tcPr>
            <w:tcW w:w="5102"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2015-16</w:t>
            </w:r>
          </w:p>
        </w:tc>
        <w:tc>
          <w:tcPr>
            <w:tcW w:w="1134" w:type="dxa"/>
            <w:tcBorders>
              <w:top w:val="nil"/>
              <w:left w:val="nil"/>
              <w:bottom w:val="nil"/>
              <w:right w:val="nil"/>
            </w:tcBorders>
            <w:shd w:val="solid" w:color="000000" w:fill="auto"/>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tc>
      </w:tr>
      <w:tr w:rsidR="00DB2687" w:rsidRPr="00953F23" w:rsidTr="00D17E64">
        <w:trPr>
          <w:cantSplit/>
          <w:trHeight w:val="537"/>
          <w:tblHeader/>
        </w:trPr>
        <w:tc>
          <w:tcPr>
            <w:tcW w:w="1134" w:type="dxa"/>
            <w:tcBorders>
              <w:top w:val="nil"/>
              <w:left w:val="nil"/>
              <w:right w:val="nil"/>
            </w:tcBorders>
            <w:shd w:val="solid" w:color="000000" w:fill="auto"/>
          </w:tcPr>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Actual</w:t>
            </w:r>
          </w:p>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30 Sep</w:t>
            </w:r>
            <w:r w:rsidRPr="00C36E04">
              <w:rPr>
                <w:rFonts w:ascii="Calibri" w:eastAsiaTheme="minorEastAsia" w:hAnsi="Calibri" w:cs="Calibri"/>
                <w:i/>
                <w:iCs/>
                <w:color w:val="FFFFFF"/>
                <w:sz w:val="22"/>
                <w:szCs w:val="22"/>
                <w:vertAlign w:val="superscript"/>
                <w:lang w:eastAsia="en-AU"/>
              </w:rPr>
              <w:t>(a)</w:t>
            </w:r>
          </w:p>
        </w:tc>
        <w:tc>
          <w:tcPr>
            <w:tcW w:w="5102" w:type="dxa"/>
            <w:tcBorders>
              <w:top w:val="nil"/>
              <w:left w:val="nil"/>
              <w:right w:val="nil"/>
            </w:tcBorders>
            <w:shd w:val="solid" w:color="000000" w:fill="auto"/>
          </w:tcPr>
          <w:p w:rsidR="00DB2687" w:rsidRPr="00953F23" w:rsidRDefault="00DB2687" w:rsidP="00953F23">
            <w:pPr>
              <w:autoSpaceDE w:val="0"/>
              <w:autoSpaceDN w:val="0"/>
              <w:adjustRightInd w:val="0"/>
              <w:spacing w:after="0"/>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p w:rsidR="00DB2687" w:rsidRPr="00953F23" w:rsidRDefault="00DB2687" w:rsidP="00953F23">
            <w:pPr>
              <w:autoSpaceDE w:val="0"/>
              <w:autoSpaceDN w:val="0"/>
              <w:adjustRightInd w:val="0"/>
              <w:spacing w:after="0"/>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Opening</w:t>
            </w:r>
          </w:p>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1 Jul</w:t>
            </w:r>
          </w:p>
        </w:tc>
        <w:tc>
          <w:tcPr>
            <w:tcW w:w="1134" w:type="dxa"/>
            <w:tcBorders>
              <w:top w:val="nil"/>
              <w:left w:val="nil"/>
              <w:right w:val="nil"/>
            </w:tcBorders>
            <w:shd w:val="solid" w:color="000000" w:fill="auto"/>
          </w:tcPr>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Actual</w:t>
            </w:r>
          </w:p>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30 Sep</w:t>
            </w:r>
          </w:p>
        </w:tc>
        <w:tc>
          <w:tcPr>
            <w:tcW w:w="1134" w:type="dxa"/>
            <w:tcBorders>
              <w:top w:val="nil"/>
              <w:left w:val="nil"/>
              <w:right w:val="nil"/>
            </w:tcBorders>
            <w:shd w:val="solid" w:color="000000" w:fill="auto"/>
          </w:tcPr>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Budget</w:t>
            </w:r>
          </w:p>
          <w:p w:rsidR="00DB2687" w:rsidRPr="00953F23" w:rsidRDefault="00DB2687" w:rsidP="00953F23">
            <w:pPr>
              <w:autoSpaceDE w:val="0"/>
              <w:autoSpaceDN w:val="0"/>
              <w:adjustRightInd w:val="0"/>
              <w:spacing w:after="0"/>
              <w:jc w:val="right"/>
              <w:rPr>
                <w:rFonts w:ascii="Calibri" w:eastAsiaTheme="minorEastAsia" w:hAnsi="Calibri" w:cs="Calibri"/>
                <w:i/>
                <w:iCs/>
                <w:color w:val="FFFFFF"/>
                <w:sz w:val="22"/>
                <w:szCs w:val="22"/>
                <w:lang w:eastAsia="en-AU"/>
              </w:rPr>
            </w:pPr>
            <w:r w:rsidRPr="00953F23">
              <w:rPr>
                <w:rFonts w:ascii="Calibri" w:eastAsiaTheme="minorEastAsia" w:hAnsi="Calibri" w:cs="Calibri"/>
                <w:i/>
                <w:iCs/>
                <w:color w:val="FFFFFF"/>
                <w:sz w:val="22"/>
                <w:szCs w:val="22"/>
                <w:lang w:eastAsia="en-AU"/>
              </w:rPr>
              <w:t>30 Jun</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Current</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1 756</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Accrued salaries and wages</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2 035</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1 951</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2 089</w:t>
            </w:r>
          </w:p>
        </w:tc>
      </w:tr>
      <w:tr w:rsidR="009A3756" w:rsidRPr="00953F23" w:rsidTr="009A3756">
        <w:trPr>
          <w:cantSplit/>
        </w:trPr>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3 030</w:t>
            </w:r>
          </w:p>
        </w:tc>
        <w:tc>
          <w:tcPr>
            <w:tcW w:w="5102"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Long service leave</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2 858</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3 005</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2 991</w:t>
            </w:r>
          </w:p>
        </w:tc>
      </w:tr>
      <w:tr w:rsidR="009A3756" w:rsidRPr="00953F23" w:rsidTr="009A3756">
        <w:trPr>
          <w:cantSplit/>
        </w:trPr>
        <w:tc>
          <w:tcPr>
            <w:tcW w:w="1134" w:type="dxa"/>
            <w:tcBorders>
              <w:top w:val="single" w:sz="6" w:space="0" w:color="000000"/>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4 786</w:t>
            </w:r>
          </w:p>
        </w:tc>
        <w:tc>
          <w:tcPr>
            <w:tcW w:w="5102" w:type="dxa"/>
            <w:tcBorders>
              <w:top w:val="single" w:sz="6" w:space="0" w:color="000000"/>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Total current employee benefits and on-costs</w:t>
            </w:r>
          </w:p>
        </w:tc>
        <w:tc>
          <w:tcPr>
            <w:tcW w:w="1134" w:type="dxa"/>
            <w:tcBorders>
              <w:top w:val="single" w:sz="6" w:space="0" w:color="000000"/>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4 893</w:t>
            </w:r>
          </w:p>
        </w:tc>
        <w:tc>
          <w:tcPr>
            <w:tcW w:w="1134" w:type="dxa"/>
            <w:tcBorders>
              <w:top w:val="single" w:sz="6" w:space="0" w:color="000000"/>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4 956</w:t>
            </w:r>
          </w:p>
        </w:tc>
        <w:tc>
          <w:tcPr>
            <w:tcW w:w="1134" w:type="dxa"/>
            <w:tcBorders>
              <w:top w:val="single" w:sz="6" w:space="0" w:color="000000"/>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5 080</w:t>
            </w:r>
          </w:p>
        </w:tc>
      </w:tr>
      <w:tr w:rsidR="009A3756" w:rsidRPr="00953F23" w:rsidTr="009A3756">
        <w:trPr>
          <w:cantSplit/>
        </w:trPr>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5102" w:type="dxa"/>
            <w:tcBorders>
              <w:top w:val="nil"/>
              <w:left w:val="nil"/>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Non-current</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c>
          <w:tcPr>
            <w:tcW w:w="1134" w:type="dxa"/>
            <w:tcBorders>
              <w:top w:val="nil"/>
              <w:left w:val="nil"/>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w:t>
            </w:r>
          </w:p>
        </w:tc>
      </w:tr>
      <w:tr w:rsidR="009A3756" w:rsidRPr="00953F23" w:rsidTr="009A3756">
        <w:trPr>
          <w:cantSplit/>
        </w:trPr>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677</w:t>
            </w:r>
          </w:p>
        </w:tc>
        <w:tc>
          <w:tcPr>
            <w:tcW w:w="5102"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Long service leave</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712</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719</w:t>
            </w:r>
          </w:p>
        </w:tc>
        <w:tc>
          <w:tcPr>
            <w:tcW w:w="1134" w:type="dxa"/>
            <w:tcBorders>
              <w:top w:val="nil"/>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color w:val="000000"/>
                <w:sz w:val="22"/>
                <w:szCs w:val="22"/>
                <w:lang w:eastAsia="en-AU"/>
              </w:rPr>
            </w:pPr>
            <w:r w:rsidRPr="00953F23">
              <w:rPr>
                <w:rFonts w:ascii="Calibri" w:eastAsiaTheme="minorEastAsia" w:hAnsi="Calibri" w:cs="Calibri"/>
                <w:color w:val="000000"/>
                <w:sz w:val="22"/>
                <w:szCs w:val="22"/>
                <w:lang w:eastAsia="en-AU"/>
              </w:rPr>
              <w:t xml:space="preserve"> 773</w:t>
            </w:r>
          </w:p>
        </w:tc>
      </w:tr>
      <w:tr w:rsidR="009A3756" w:rsidRPr="00953F23" w:rsidTr="009A3756">
        <w:trPr>
          <w:cantSplit/>
        </w:trPr>
        <w:tc>
          <w:tcPr>
            <w:tcW w:w="1134" w:type="dxa"/>
            <w:tcBorders>
              <w:top w:val="single" w:sz="6" w:space="0" w:color="000000"/>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677</w:t>
            </w:r>
          </w:p>
        </w:tc>
        <w:tc>
          <w:tcPr>
            <w:tcW w:w="5102" w:type="dxa"/>
            <w:tcBorders>
              <w:top w:val="single" w:sz="6" w:space="0" w:color="000000"/>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Total non-current employee benefits and on-costs</w:t>
            </w:r>
          </w:p>
        </w:tc>
        <w:tc>
          <w:tcPr>
            <w:tcW w:w="1134" w:type="dxa"/>
            <w:tcBorders>
              <w:top w:val="single" w:sz="6" w:space="0" w:color="000000"/>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712</w:t>
            </w:r>
          </w:p>
        </w:tc>
        <w:tc>
          <w:tcPr>
            <w:tcW w:w="1134" w:type="dxa"/>
            <w:tcBorders>
              <w:top w:val="single" w:sz="6" w:space="0" w:color="000000"/>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719</w:t>
            </w:r>
          </w:p>
        </w:tc>
        <w:tc>
          <w:tcPr>
            <w:tcW w:w="1134" w:type="dxa"/>
            <w:tcBorders>
              <w:top w:val="single" w:sz="6" w:space="0" w:color="000000"/>
              <w:left w:val="nil"/>
              <w:bottom w:val="single" w:sz="6"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 xml:space="preserve"> 773</w:t>
            </w:r>
          </w:p>
        </w:tc>
      </w:tr>
      <w:tr w:rsidR="009A3756" w:rsidRPr="00953F23" w:rsidTr="009A3756">
        <w:trPr>
          <w:cantSplit/>
        </w:trPr>
        <w:tc>
          <w:tcPr>
            <w:tcW w:w="1134"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5 463</w:t>
            </w:r>
          </w:p>
        </w:tc>
        <w:tc>
          <w:tcPr>
            <w:tcW w:w="5102"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Total employee benefits and on-costs</w:t>
            </w:r>
          </w:p>
        </w:tc>
        <w:tc>
          <w:tcPr>
            <w:tcW w:w="1134"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5 605</w:t>
            </w:r>
          </w:p>
        </w:tc>
        <w:tc>
          <w:tcPr>
            <w:tcW w:w="1134"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5 675</w:t>
            </w:r>
          </w:p>
        </w:tc>
        <w:tc>
          <w:tcPr>
            <w:tcW w:w="1134" w:type="dxa"/>
            <w:tcBorders>
              <w:top w:val="single" w:sz="6" w:space="0" w:color="000000"/>
              <w:left w:val="nil"/>
              <w:bottom w:val="single" w:sz="12" w:space="0" w:color="000000"/>
              <w:right w:val="nil"/>
            </w:tcBorders>
            <w:shd w:val="clear" w:color="auto" w:fill="FFFFFF"/>
          </w:tcPr>
          <w:p w:rsidR="009A3756" w:rsidRPr="00953F23" w:rsidRDefault="009A3756" w:rsidP="00953F23">
            <w:pPr>
              <w:autoSpaceDE w:val="0"/>
              <w:autoSpaceDN w:val="0"/>
              <w:adjustRightInd w:val="0"/>
              <w:spacing w:after="0"/>
              <w:jc w:val="right"/>
              <w:rPr>
                <w:rFonts w:ascii="Calibri" w:eastAsiaTheme="minorEastAsia" w:hAnsi="Calibri" w:cs="Calibri"/>
                <w:b/>
                <w:bCs/>
                <w:color w:val="000000"/>
                <w:sz w:val="22"/>
                <w:szCs w:val="22"/>
                <w:lang w:eastAsia="en-AU"/>
              </w:rPr>
            </w:pPr>
            <w:r w:rsidRPr="00953F23">
              <w:rPr>
                <w:rFonts w:ascii="Calibri" w:eastAsiaTheme="minorEastAsia" w:hAnsi="Calibri" w:cs="Calibri"/>
                <w:b/>
                <w:bCs/>
                <w:color w:val="000000"/>
                <w:sz w:val="22"/>
                <w:szCs w:val="22"/>
                <w:lang w:eastAsia="en-AU"/>
              </w:rPr>
              <w:t>5 852</w:t>
            </w:r>
          </w:p>
        </w:tc>
      </w:tr>
    </w:tbl>
    <w:p w:rsidR="00FC6048" w:rsidRDefault="00C36E04" w:rsidP="00FC6048">
      <w:pPr>
        <w:pStyle w:val="Notes"/>
        <w:rPr>
          <w:rFonts w:eastAsiaTheme="minorEastAsia"/>
          <w:lang w:eastAsia="en-AU"/>
        </w:rPr>
      </w:pPr>
      <w:r w:rsidRPr="00C36E04">
        <w:rPr>
          <w:rFonts w:eastAsiaTheme="minorEastAsia"/>
          <w:lang w:eastAsia="en-AU"/>
        </w:rPr>
        <w:t>Note:</w:t>
      </w:r>
    </w:p>
    <w:p w:rsidR="00FC6048" w:rsidRDefault="00C36E04" w:rsidP="00FC6048">
      <w:pPr>
        <w:pStyle w:val="Notes"/>
      </w:pPr>
      <w:r>
        <w:t xml:space="preserve">(a) </w:t>
      </w:r>
      <w:r w:rsidR="00FC6048">
        <w:tab/>
      </w:r>
      <w:r w:rsidRPr="00C36E04">
        <w:t>September 2014-15 comparative figures have been restated to reflect more current information.</w:t>
      </w:r>
    </w:p>
    <w:p w:rsidR="00FC6048" w:rsidRDefault="00FC6048" w:rsidP="00C5552E">
      <w:pPr>
        <w:spacing w:after="0"/>
      </w:pPr>
    </w:p>
    <w:p w:rsidR="00F54D2D" w:rsidRDefault="00F54D2D" w:rsidP="00F54D2D">
      <w:pPr>
        <w:spacing w:after="0"/>
        <w:rPr>
          <w:rFonts w:ascii="Times New Roman" w:hAnsi="Times New Roman"/>
          <w:sz w:val="20"/>
          <w:lang w:eastAsia="en-AU"/>
        </w:rPr>
      </w:pPr>
    </w:p>
    <w:p w:rsidR="009A3756" w:rsidRDefault="009A3756">
      <w:pPr>
        <w:spacing w:after="0"/>
      </w:pPr>
      <w:r>
        <w:br w:type="page"/>
      </w:r>
    </w:p>
    <w:p w:rsidR="009A3756" w:rsidRDefault="009A3756" w:rsidP="009A3756">
      <w:pPr>
        <w:pStyle w:val="Heading2NotesQtrly"/>
      </w:pPr>
      <w:bookmarkStart w:id="28" w:name="_Toc435107450"/>
      <w:r>
        <w:lastRenderedPageBreak/>
        <w:t xml:space="preserve">Note 18: </w:t>
      </w:r>
      <w:r>
        <w:tab/>
        <w:t>Cash flow information</w:t>
      </w:r>
      <w:bookmarkEnd w:id="28"/>
    </w:p>
    <w:p w:rsidR="009A3756" w:rsidRDefault="009A3756" w:rsidP="009A3756">
      <w:pPr>
        <w:pStyle w:val="Tableheading"/>
      </w:pPr>
      <w:r>
        <w:t xml:space="preserve">(a) </w:t>
      </w:r>
      <w:r>
        <w:tab/>
        <w:t>Reconciliation of cash and cash equivalents</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7370"/>
        <w:gridCol w:w="1134"/>
      </w:tblGrid>
      <w:tr w:rsidR="009A3756" w:rsidRPr="00F54D2D" w:rsidTr="009A3756">
        <w:tc>
          <w:tcPr>
            <w:tcW w:w="9638" w:type="dxa"/>
            <w:gridSpan w:val="3"/>
            <w:tcBorders>
              <w:top w:val="nil"/>
              <w:left w:val="nil"/>
              <w:bottom w:val="nil"/>
              <w:right w:val="nil"/>
            </w:tcBorders>
          </w:tcPr>
          <w:p w:rsidR="009A3756" w:rsidRPr="00F54D2D" w:rsidRDefault="009A3756" w:rsidP="00F54D2D">
            <w:pPr>
              <w:pStyle w:val="million"/>
              <w:rPr>
                <w:rFonts w:eastAsiaTheme="minorEastAsia"/>
                <w:lang w:eastAsia="en-AU"/>
              </w:rPr>
            </w:pPr>
            <w:r w:rsidRPr="00F54D2D">
              <w:rPr>
                <w:rFonts w:eastAsiaTheme="minorEastAsia"/>
                <w:lang w:eastAsia="en-AU"/>
              </w:rPr>
              <w:t>($ million)</w:t>
            </w:r>
          </w:p>
        </w:tc>
      </w:tr>
      <w:tr w:rsidR="009A3756" w:rsidRPr="00F54D2D" w:rsidTr="009A3756">
        <w:tc>
          <w:tcPr>
            <w:tcW w:w="1134" w:type="dxa"/>
            <w:tcBorders>
              <w:top w:val="nil"/>
              <w:left w:val="nil"/>
              <w:bottom w:val="nil"/>
              <w:right w:val="nil"/>
            </w:tcBorders>
            <w:shd w:val="solid" w:color="000000" w:fill="auto"/>
          </w:tcPr>
          <w:p w:rsidR="009A3756" w:rsidRPr="00F54D2D" w:rsidRDefault="009A3756" w:rsidP="00F54D2D">
            <w:pPr>
              <w:autoSpaceDE w:val="0"/>
              <w:autoSpaceDN w:val="0"/>
              <w:adjustRightInd w:val="0"/>
              <w:spacing w:after="0"/>
              <w:jc w:val="right"/>
              <w:rPr>
                <w:rFonts w:ascii="Calibri" w:eastAsiaTheme="minorEastAsia" w:hAnsi="Calibri" w:cs="Calibri"/>
                <w:i/>
                <w:iCs/>
                <w:color w:val="FFFFFF"/>
                <w:sz w:val="22"/>
                <w:szCs w:val="22"/>
                <w:lang w:eastAsia="en-AU"/>
              </w:rPr>
            </w:pPr>
            <w:r w:rsidRPr="00F54D2D">
              <w:rPr>
                <w:rFonts w:ascii="Calibri" w:eastAsiaTheme="minorEastAsia" w:hAnsi="Calibri" w:cs="Calibri"/>
                <w:i/>
                <w:iCs/>
                <w:color w:val="FFFFFF"/>
                <w:sz w:val="22"/>
                <w:szCs w:val="22"/>
                <w:lang w:eastAsia="en-AU"/>
              </w:rPr>
              <w:t>2014-15</w:t>
            </w:r>
          </w:p>
        </w:tc>
        <w:tc>
          <w:tcPr>
            <w:tcW w:w="7370" w:type="dxa"/>
            <w:tcBorders>
              <w:top w:val="nil"/>
              <w:left w:val="nil"/>
              <w:bottom w:val="nil"/>
              <w:right w:val="nil"/>
            </w:tcBorders>
            <w:shd w:val="solid" w:color="000000" w:fill="auto"/>
          </w:tcPr>
          <w:p w:rsidR="009A3756" w:rsidRPr="00F54D2D" w:rsidRDefault="009A3756" w:rsidP="00F54D2D">
            <w:pPr>
              <w:autoSpaceDE w:val="0"/>
              <w:autoSpaceDN w:val="0"/>
              <w:adjustRightInd w:val="0"/>
              <w:spacing w:after="0"/>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 xml:space="preserve"> </w:t>
            </w:r>
          </w:p>
        </w:tc>
        <w:tc>
          <w:tcPr>
            <w:tcW w:w="1134" w:type="dxa"/>
            <w:tcBorders>
              <w:top w:val="nil"/>
              <w:left w:val="nil"/>
              <w:bottom w:val="nil"/>
              <w:right w:val="nil"/>
            </w:tcBorders>
            <w:shd w:val="solid" w:color="000000" w:fill="auto"/>
          </w:tcPr>
          <w:p w:rsidR="009A3756" w:rsidRPr="00F54D2D" w:rsidRDefault="009A3756" w:rsidP="00F54D2D">
            <w:pPr>
              <w:autoSpaceDE w:val="0"/>
              <w:autoSpaceDN w:val="0"/>
              <w:adjustRightInd w:val="0"/>
              <w:spacing w:after="0"/>
              <w:jc w:val="right"/>
              <w:rPr>
                <w:rFonts w:ascii="Calibri" w:eastAsiaTheme="minorEastAsia" w:hAnsi="Calibri" w:cs="Calibri"/>
                <w:i/>
                <w:iCs/>
                <w:color w:val="FFFFFF"/>
                <w:sz w:val="22"/>
                <w:szCs w:val="22"/>
                <w:lang w:eastAsia="en-AU"/>
              </w:rPr>
            </w:pPr>
            <w:r w:rsidRPr="00F54D2D">
              <w:rPr>
                <w:rFonts w:ascii="Calibri" w:eastAsiaTheme="minorEastAsia" w:hAnsi="Calibri" w:cs="Calibri"/>
                <w:i/>
                <w:iCs/>
                <w:color w:val="FFFFFF"/>
                <w:sz w:val="22"/>
                <w:szCs w:val="22"/>
                <w:lang w:eastAsia="en-AU"/>
              </w:rPr>
              <w:t>2015-16</w:t>
            </w:r>
          </w:p>
        </w:tc>
      </w:tr>
      <w:tr w:rsidR="00DB2687" w:rsidRPr="00F54D2D" w:rsidTr="00A57309">
        <w:trPr>
          <w:trHeight w:val="537"/>
        </w:trPr>
        <w:tc>
          <w:tcPr>
            <w:tcW w:w="1134" w:type="dxa"/>
            <w:tcBorders>
              <w:top w:val="nil"/>
              <w:left w:val="nil"/>
              <w:right w:val="nil"/>
            </w:tcBorders>
            <w:shd w:val="solid" w:color="000000" w:fill="auto"/>
          </w:tcPr>
          <w:p w:rsidR="00DB2687" w:rsidRPr="00F54D2D" w:rsidRDefault="00DB2687" w:rsidP="00F54D2D">
            <w:pPr>
              <w:autoSpaceDE w:val="0"/>
              <w:autoSpaceDN w:val="0"/>
              <w:adjustRightInd w:val="0"/>
              <w:spacing w:after="0"/>
              <w:jc w:val="right"/>
              <w:rPr>
                <w:rFonts w:ascii="Calibri" w:eastAsiaTheme="minorEastAsia" w:hAnsi="Calibri" w:cs="Calibri"/>
                <w:i/>
                <w:iCs/>
                <w:color w:val="FFFFFF"/>
                <w:sz w:val="22"/>
                <w:szCs w:val="22"/>
                <w:lang w:eastAsia="en-AU"/>
              </w:rPr>
            </w:pPr>
            <w:r w:rsidRPr="00F54D2D">
              <w:rPr>
                <w:rFonts w:ascii="Calibri" w:eastAsiaTheme="minorEastAsia" w:hAnsi="Calibri" w:cs="Calibri"/>
                <w:i/>
                <w:iCs/>
                <w:color w:val="FFFFFF"/>
                <w:sz w:val="22"/>
                <w:szCs w:val="22"/>
                <w:lang w:eastAsia="en-AU"/>
              </w:rPr>
              <w:t xml:space="preserve">Actual </w:t>
            </w:r>
          </w:p>
          <w:p w:rsidR="00DB2687" w:rsidRPr="00F54D2D" w:rsidRDefault="00DB2687" w:rsidP="00F54D2D">
            <w:pPr>
              <w:autoSpaceDE w:val="0"/>
              <w:autoSpaceDN w:val="0"/>
              <w:adjustRightInd w:val="0"/>
              <w:spacing w:after="0"/>
              <w:jc w:val="right"/>
              <w:rPr>
                <w:rFonts w:ascii="Calibri" w:eastAsiaTheme="minorEastAsia" w:hAnsi="Calibri" w:cs="Calibri"/>
                <w:i/>
                <w:iCs/>
                <w:color w:val="FFFFFF"/>
                <w:sz w:val="22"/>
                <w:szCs w:val="22"/>
                <w:lang w:eastAsia="en-AU"/>
              </w:rPr>
            </w:pPr>
            <w:r w:rsidRPr="00F54D2D">
              <w:rPr>
                <w:rFonts w:ascii="Calibri" w:eastAsiaTheme="minorEastAsia" w:hAnsi="Calibri" w:cs="Calibri"/>
                <w:i/>
                <w:iCs/>
                <w:color w:val="FFFFFF"/>
                <w:sz w:val="22"/>
                <w:szCs w:val="22"/>
                <w:lang w:eastAsia="en-AU"/>
              </w:rPr>
              <w:t>to Sep</w:t>
            </w:r>
          </w:p>
        </w:tc>
        <w:tc>
          <w:tcPr>
            <w:tcW w:w="7370" w:type="dxa"/>
            <w:tcBorders>
              <w:top w:val="nil"/>
              <w:left w:val="nil"/>
              <w:right w:val="nil"/>
            </w:tcBorders>
            <w:shd w:val="solid" w:color="000000" w:fill="auto"/>
          </w:tcPr>
          <w:p w:rsidR="00DB2687" w:rsidRPr="00F54D2D" w:rsidRDefault="00DB2687" w:rsidP="00F54D2D">
            <w:pPr>
              <w:autoSpaceDE w:val="0"/>
              <w:autoSpaceDN w:val="0"/>
              <w:adjustRightInd w:val="0"/>
              <w:spacing w:after="0"/>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 xml:space="preserve"> </w:t>
            </w:r>
          </w:p>
          <w:p w:rsidR="00DB2687" w:rsidRPr="00F54D2D" w:rsidRDefault="00DB2687" w:rsidP="00F54D2D">
            <w:pPr>
              <w:autoSpaceDE w:val="0"/>
              <w:autoSpaceDN w:val="0"/>
              <w:adjustRightInd w:val="0"/>
              <w:spacing w:after="0"/>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solid" w:color="000000" w:fill="auto"/>
          </w:tcPr>
          <w:p w:rsidR="00DB2687" w:rsidRPr="00F54D2D" w:rsidRDefault="00DB2687" w:rsidP="00F54D2D">
            <w:pPr>
              <w:autoSpaceDE w:val="0"/>
              <w:autoSpaceDN w:val="0"/>
              <w:adjustRightInd w:val="0"/>
              <w:spacing w:after="0"/>
              <w:jc w:val="right"/>
              <w:rPr>
                <w:rFonts w:ascii="Calibri" w:eastAsiaTheme="minorEastAsia" w:hAnsi="Calibri" w:cs="Calibri"/>
                <w:i/>
                <w:iCs/>
                <w:color w:val="FFFFFF"/>
                <w:sz w:val="22"/>
                <w:szCs w:val="22"/>
                <w:lang w:eastAsia="en-AU"/>
              </w:rPr>
            </w:pPr>
            <w:r w:rsidRPr="00F54D2D">
              <w:rPr>
                <w:rFonts w:ascii="Calibri" w:eastAsiaTheme="minorEastAsia" w:hAnsi="Calibri" w:cs="Calibri"/>
                <w:i/>
                <w:iCs/>
                <w:color w:val="FFFFFF"/>
                <w:sz w:val="22"/>
                <w:szCs w:val="22"/>
                <w:lang w:eastAsia="en-AU"/>
              </w:rPr>
              <w:t xml:space="preserve">Actual </w:t>
            </w:r>
          </w:p>
          <w:p w:rsidR="00DB2687" w:rsidRPr="00F54D2D" w:rsidRDefault="00DB2687" w:rsidP="00F54D2D">
            <w:pPr>
              <w:autoSpaceDE w:val="0"/>
              <w:autoSpaceDN w:val="0"/>
              <w:adjustRightInd w:val="0"/>
              <w:spacing w:after="0"/>
              <w:jc w:val="right"/>
              <w:rPr>
                <w:rFonts w:ascii="Calibri" w:eastAsiaTheme="minorEastAsia" w:hAnsi="Calibri" w:cs="Calibri"/>
                <w:i/>
                <w:iCs/>
                <w:color w:val="FFFFFF"/>
                <w:sz w:val="22"/>
                <w:szCs w:val="22"/>
                <w:lang w:eastAsia="en-AU"/>
              </w:rPr>
            </w:pPr>
            <w:r w:rsidRPr="00F54D2D">
              <w:rPr>
                <w:rFonts w:ascii="Calibri" w:eastAsiaTheme="minorEastAsia" w:hAnsi="Calibri" w:cs="Calibri"/>
                <w:i/>
                <w:iCs/>
                <w:color w:val="FFFFFF"/>
                <w:sz w:val="22"/>
                <w:szCs w:val="22"/>
                <w:lang w:eastAsia="en-AU"/>
              </w:rPr>
              <w:t>to Sep</w:t>
            </w:r>
          </w:p>
        </w:tc>
      </w:tr>
      <w:tr w:rsidR="009A3756" w:rsidRPr="00F54D2D" w:rsidTr="009A3756">
        <w:tc>
          <w:tcPr>
            <w:tcW w:w="1134" w:type="dxa"/>
            <w:tcBorders>
              <w:top w:val="nil"/>
              <w:left w:val="nil"/>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1 928</w:t>
            </w:r>
          </w:p>
        </w:tc>
        <w:tc>
          <w:tcPr>
            <w:tcW w:w="7370" w:type="dxa"/>
            <w:tcBorders>
              <w:top w:val="nil"/>
              <w:left w:val="nil"/>
              <w:right w:val="nil"/>
            </w:tcBorders>
            <w:shd w:val="clear" w:color="000000" w:fill="FFFFFF"/>
          </w:tcPr>
          <w:p w:rsidR="009A3756" w:rsidRPr="00F54D2D" w:rsidRDefault="009A3756" w:rsidP="00F54D2D">
            <w:pPr>
              <w:autoSpaceDE w:val="0"/>
              <w:autoSpaceDN w:val="0"/>
              <w:adjustRightInd w:val="0"/>
              <w:spacing w:after="0"/>
              <w:ind w:left="340" w:hanging="227"/>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Cash</w:t>
            </w:r>
          </w:p>
        </w:tc>
        <w:tc>
          <w:tcPr>
            <w:tcW w:w="1134" w:type="dxa"/>
            <w:tcBorders>
              <w:top w:val="nil"/>
              <w:left w:val="nil"/>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1 567</w:t>
            </w:r>
          </w:p>
        </w:tc>
      </w:tr>
      <w:tr w:rsidR="009A3756" w:rsidRPr="00F54D2D" w:rsidTr="009A3756">
        <w:tc>
          <w:tcPr>
            <w:tcW w:w="1134" w:type="dxa"/>
            <w:tcBorders>
              <w:top w:val="nil"/>
              <w:left w:val="nil"/>
              <w:bottom w:val="single" w:sz="6" w:space="0" w:color="000000"/>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2 249</w:t>
            </w:r>
          </w:p>
        </w:tc>
        <w:tc>
          <w:tcPr>
            <w:tcW w:w="7370" w:type="dxa"/>
            <w:tcBorders>
              <w:top w:val="nil"/>
              <w:left w:val="nil"/>
              <w:bottom w:val="single" w:sz="6" w:space="0" w:color="000000"/>
              <w:right w:val="nil"/>
            </w:tcBorders>
            <w:shd w:val="clear" w:color="000000" w:fill="FFFFFF"/>
          </w:tcPr>
          <w:p w:rsidR="009A3756" w:rsidRPr="00F54D2D" w:rsidRDefault="009A3756" w:rsidP="00F54D2D">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F54D2D">
              <w:rPr>
                <w:rFonts w:ascii="Calibri" w:eastAsiaTheme="minorEastAsia" w:hAnsi="Calibri" w:cs="Calibri"/>
                <w:color w:val="000000"/>
                <w:sz w:val="22"/>
                <w:szCs w:val="22"/>
                <w:lang w:eastAsia="en-AU"/>
              </w:rPr>
              <w:t>Deposits at call</w:t>
            </w:r>
            <w:r w:rsidRPr="00F54D2D">
              <w:rPr>
                <w:rFonts w:ascii="Calibri" w:eastAsiaTheme="minorEastAsia" w:hAnsi="Calibri" w:cs="Calibri"/>
                <w:color w:val="000000"/>
                <w:sz w:val="22"/>
                <w:szCs w:val="22"/>
                <w:vertAlign w:val="superscript"/>
                <w:lang w:eastAsia="en-AU"/>
              </w:rPr>
              <w:t>(a)</w:t>
            </w:r>
          </w:p>
        </w:tc>
        <w:tc>
          <w:tcPr>
            <w:tcW w:w="1134" w:type="dxa"/>
            <w:tcBorders>
              <w:top w:val="nil"/>
              <w:left w:val="nil"/>
              <w:bottom w:val="single" w:sz="6" w:space="0" w:color="000000"/>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2 494</w:t>
            </w:r>
          </w:p>
        </w:tc>
      </w:tr>
      <w:tr w:rsidR="009A3756" w:rsidRPr="00F54D2D" w:rsidTr="009A3756">
        <w:tc>
          <w:tcPr>
            <w:tcW w:w="1134" w:type="dxa"/>
            <w:tcBorders>
              <w:top w:val="single" w:sz="6" w:space="0" w:color="000000"/>
              <w:left w:val="nil"/>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b/>
                <w:bCs/>
                <w:color w:val="000000"/>
                <w:sz w:val="22"/>
                <w:szCs w:val="22"/>
                <w:lang w:eastAsia="en-AU"/>
              </w:rPr>
            </w:pPr>
            <w:r w:rsidRPr="00F54D2D">
              <w:rPr>
                <w:rFonts w:ascii="Calibri" w:eastAsiaTheme="minorEastAsia" w:hAnsi="Calibri" w:cs="Calibri"/>
                <w:b/>
                <w:bCs/>
                <w:color w:val="000000"/>
                <w:sz w:val="22"/>
                <w:szCs w:val="22"/>
                <w:lang w:eastAsia="en-AU"/>
              </w:rPr>
              <w:t>4 177</w:t>
            </w:r>
          </w:p>
        </w:tc>
        <w:tc>
          <w:tcPr>
            <w:tcW w:w="7370" w:type="dxa"/>
            <w:tcBorders>
              <w:top w:val="single" w:sz="6" w:space="0" w:color="000000"/>
              <w:left w:val="nil"/>
              <w:right w:val="nil"/>
            </w:tcBorders>
            <w:shd w:val="clear" w:color="000000" w:fill="FFFFFF"/>
          </w:tcPr>
          <w:p w:rsidR="009A3756" w:rsidRPr="00F54D2D" w:rsidRDefault="009A3756" w:rsidP="00F54D2D">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F54D2D">
              <w:rPr>
                <w:rFonts w:ascii="Calibri" w:eastAsiaTheme="minorEastAsia" w:hAnsi="Calibri" w:cs="Calibri"/>
                <w:b/>
                <w:bCs/>
                <w:color w:val="000000"/>
                <w:sz w:val="22"/>
                <w:szCs w:val="22"/>
                <w:lang w:eastAsia="en-AU"/>
              </w:rPr>
              <w:t>Cash and cash equivalents</w:t>
            </w:r>
            <w:r w:rsidRPr="00F54D2D">
              <w:rPr>
                <w:rFonts w:ascii="Calibri" w:eastAsiaTheme="minorEastAsia" w:hAnsi="Calibri" w:cs="Calibri"/>
                <w:b/>
                <w:bCs/>
                <w:color w:val="000000"/>
                <w:sz w:val="22"/>
                <w:szCs w:val="22"/>
                <w:vertAlign w:val="superscript"/>
                <w:lang w:eastAsia="en-AU"/>
              </w:rPr>
              <w:t>(a)</w:t>
            </w:r>
          </w:p>
        </w:tc>
        <w:tc>
          <w:tcPr>
            <w:tcW w:w="1134" w:type="dxa"/>
            <w:tcBorders>
              <w:top w:val="single" w:sz="6" w:space="0" w:color="000000"/>
              <w:left w:val="nil"/>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b/>
                <w:bCs/>
                <w:color w:val="000000"/>
                <w:sz w:val="22"/>
                <w:szCs w:val="22"/>
                <w:lang w:eastAsia="en-AU"/>
              </w:rPr>
            </w:pPr>
            <w:r w:rsidRPr="00F54D2D">
              <w:rPr>
                <w:rFonts w:ascii="Calibri" w:eastAsiaTheme="minorEastAsia" w:hAnsi="Calibri" w:cs="Calibri"/>
                <w:b/>
                <w:bCs/>
                <w:color w:val="000000"/>
                <w:sz w:val="22"/>
                <w:szCs w:val="22"/>
                <w:lang w:eastAsia="en-AU"/>
              </w:rPr>
              <w:t>4 061</w:t>
            </w:r>
          </w:p>
        </w:tc>
      </w:tr>
      <w:tr w:rsidR="009A3756" w:rsidRPr="00F54D2D" w:rsidTr="009A3756">
        <w:tc>
          <w:tcPr>
            <w:tcW w:w="1134" w:type="dxa"/>
            <w:tcBorders>
              <w:top w:val="nil"/>
              <w:left w:val="nil"/>
              <w:bottom w:val="single" w:sz="6" w:space="0" w:color="000000"/>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w:t>
            </w:r>
          </w:p>
        </w:tc>
        <w:tc>
          <w:tcPr>
            <w:tcW w:w="7370" w:type="dxa"/>
            <w:tcBorders>
              <w:top w:val="nil"/>
              <w:left w:val="nil"/>
              <w:bottom w:val="single" w:sz="6" w:space="0" w:color="000000"/>
              <w:right w:val="nil"/>
            </w:tcBorders>
            <w:shd w:val="clear" w:color="000000" w:fill="FFFFFF"/>
          </w:tcPr>
          <w:p w:rsidR="009A3756" w:rsidRPr="00F54D2D" w:rsidRDefault="009A3756" w:rsidP="00F54D2D">
            <w:pPr>
              <w:autoSpaceDE w:val="0"/>
              <w:autoSpaceDN w:val="0"/>
              <w:adjustRightInd w:val="0"/>
              <w:spacing w:after="0"/>
              <w:ind w:left="340" w:hanging="227"/>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Bank overdraft</w:t>
            </w:r>
          </w:p>
        </w:tc>
        <w:tc>
          <w:tcPr>
            <w:tcW w:w="1134" w:type="dxa"/>
            <w:tcBorders>
              <w:top w:val="nil"/>
              <w:left w:val="nil"/>
              <w:bottom w:val="single" w:sz="6" w:space="0" w:color="000000"/>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color w:val="000000"/>
                <w:sz w:val="22"/>
                <w:szCs w:val="22"/>
                <w:lang w:eastAsia="en-AU"/>
              </w:rPr>
            </w:pPr>
            <w:r w:rsidRPr="00F54D2D">
              <w:rPr>
                <w:rFonts w:ascii="Calibri" w:eastAsiaTheme="minorEastAsia" w:hAnsi="Calibri" w:cs="Calibri"/>
                <w:color w:val="000000"/>
                <w:sz w:val="22"/>
                <w:szCs w:val="22"/>
                <w:lang w:eastAsia="en-AU"/>
              </w:rPr>
              <w:t>..</w:t>
            </w:r>
          </w:p>
        </w:tc>
      </w:tr>
      <w:tr w:rsidR="009A3756" w:rsidRPr="00F54D2D" w:rsidTr="009A3756">
        <w:tc>
          <w:tcPr>
            <w:tcW w:w="1134" w:type="dxa"/>
            <w:tcBorders>
              <w:top w:val="single" w:sz="6" w:space="0" w:color="000000"/>
              <w:left w:val="nil"/>
              <w:bottom w:val="single" w:sz="12" w:space="0" w:color="auto"/>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b/>
                <w:bCs/>
                <w:color w:val="000000"/>
                <w:sz w:val="22"/>
                <w:szCs w:val="22"/>
                <w:lang w:eastAsia="en-AU"/>
              </w:rPr>
            </w:pPr>
            <w:r w:rsidRPr="00F54D2D">
              <w:rPr>
                <w:rFonts w:ascii="Calibri" w:eastAsiaTheme="minorEastAsia" w:hAnsi="Calibri" w:cs="Calibri"/>
                <w:b/>
                <w:bCs/>
                <w:color w:val="000000"/>
                <w:sz w:val="22"/>
                <w:szCs w:val="22"/>
                <w:lang w:eastAsia="en-AU"/>
              </w:rPr>
              <w:t>4 177</w:t>
            </w:r>
          </w:p>
        </w:tc>
        <w:tc>
          <w:tcPr>
            <w:tcW w:w="7370" w:type="dxa"/>
            <w:tcBorders>
              <w:top w:val="single" w:sz="6" w:space="0" w:color="000000"/>
              <w:left w:val="nil"/>
              <w:bottom w:val="single" w:sz="12" w:space="0" w:color="auto"/>
              <w:right w:val="nil"/>
            </w:tcBorders>
            <w:shd w:val="clear" w:color="000000" w:fill="FFFFFF"/>
          </w:tcPr>
          <w:p w:rsidR="009A3756" w:rsidRPr="00F54D2D" w:rsidRDefault="009A3756" w:rsidP="00F54D2D">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sidRPr="00F54D2D">
              <w:rPr>
                <w:rFonts w:ascii="Calibri" w:eastAsiaTheme="minorEastAsia" w:hAnsi="Calibri" w:cs="Calibri"/>
                <w:b/>
                <w:bCs/>
                <w:color w:val="000000"/>
                <w:sz w:val="22"/>
                <w:szCs w:val="22"/>
                <w:lang w:eastAsia="en-AU"/>
              </w:rPr>
              <w:t>Balances as per cash flow statement</w:t>
            </w:r>
            <w:r w:rsidRPr="00F54D2D">
              <w:rPr>
                <w:rFonts w:ascii="Calibri" w:eastAsiaTheme="minorEastAsia" w:hAnsi="Calibri" w:cs="Calibri"/>
                <w:b/>
                <w:bCs/>
                <w:color w:val="000000"/>
                <w:sz w:val="22"/>
                <w:szCs w:val="22"/>
                <w:vertAlign w:val="superscript"/>
                <w:lang w:eastAsia="en-AU"/>
              </w:rPr>
              <w:t>(a)</w:t>
            </w:r>
          </w:p>
        </w:tc>
        <w:tc>
          <w:tcPr>
            <w:tcW w:w="1134" w:type="dxa"/>
            <w:tcBorders>
              <w:top w:val="single" w:sz="6" w:space="0" w:color="000000"/>
              <w:left w:val="nil"/>
              <w:bottom w:val="single" w:sz="12" w:space="0" w:color="auto"/>
              <w:right w:val="nil"/>
            </w:tcBorders>
            <w:shd w:val="clear" w:color="000000" w:fill="FFFFFF"/>
          </w:tcPr>
          <w:p w:rsidR="009A3756" w:rsidRPr="00F54D2D" w:rsidRDefault="009A3756" w:rsidP="00F54D2D">
            <w:pPr>
              <w:autoSpaceDE w:val="0"/>
              <w:autoSpaceDN w:val="0"/>
              <w:adjustRightInd w:val="0"/>
              <w:spacing w:after="0"/>
              <w:jc w:val="right"/>
              <w:rPr>
                <w:rFonts w:ascii="Calibri" w:eastAsiaTheme="minorEastAsia" w:hAnsi="Calibri" w:cs="Calibri"/>
                <w:b/>
                <w:bCs/>
                <w:color w:val="000000"/>
                <w:sz w:val="22"/>
                <w:szCs w:val="22"/>
                <w:lang w:eastAsia="en-AU"/>
              </w:rPr>
            </w:pPr>
            <w:r w:rsidRPr="00F54D2D">
              <w:rPr>
                <w:rFonts w:ascii="Calibri" w:eastAsiaTheme="minorEastAsia" w:hAnsi="Calibri" w:cs="Calibri"/>
                <w:b/>
                <w:bCs/>
                <w:color w:val="000000"/>
                <w:sz w:val="22"/>
                <w:szCs w:val="22"/>
                <w:lang w:eastAsia="en-AU"/>
              </w:rPr>
              <w:t>4 061</w:t>
            </w:r>
          </w:p>
        </w:tc>
      </w:tr>
      <w:tr w:rsidR="009A3756" w:rsidRPr="00F54D2D" w:rsidTr="009A3756">
        <w:tc>
          <w:tcPr>
            <w:tcW w:w="9638" w:type="dxa"/>
            <w:gridSpan w:val="3"/>
            <w:tcBorders>
              <w:top w:val="single" w:sz="12" w:space="0" w:color="auto"/>
              <w:left w:val="nil"/>
              <w:bottom w:val="nil"/>
              <w:right w:val="nil"/>
            </w:tcBorders>
            <w:shd w:val="clear" w:color="auto" w:fill="auto"/>
          </w:tcPr>
          <w:p w:rsidR="009A3756" w:rsidRPr="00F54D2D" w:rsidRDefault="009A3756" w:rsidP="00E1277E">
            <w:pPr>
              <w:tabs>
                <w:tab w:val="left" w:pos="454"/>
              </w:tabs>
              <w:autoSpaceDE w:val="0"/>
              <w:autoSpaceDN w:val="0"/>
              <w:adjustRightInd w:val="0"/>
              <w:spacing w:after="0"/>
              <w:rPr>
                <w:rFonts w:ascii="Calibri" w:eastAsiaTheme="minorEastAsia" w:hAnsi="Calibri" w:cs="Calibri"/>
                <w:i/>
                <w:iCs/>
                <w:color w:val="000000"/>
                <w:sz w:val="16"/>
                <w:szCs w:val="22"/>
                <w:lang w:eastAsia="en-AU"/>
              </w:rPr>
            </w:pPr>
            <w:r w:rsidRPr="00F54D2D">
              <w:rPr>
                <w:rFonts w:ascii="Calibri" w:eastAsiaTheme="minorEastAsia" w:hAnsi="Calibri" w:cs="Calibri"/>
                <w:i/>
                <w:iCs/>
                <w:color w:val="000000"/>
                <w:sz w:val="16"/>
                <w:szCs w:val="22"/>
                <w:lang w:eastAsia="en-AU"/>
              </w:rPr>
              <w:t>Note:</w:t>
            </w:r>
          </w:p>
        </w:tc>
      </w:tr>
      <w:tr w:rsidR="009A3756" w:rsidRPr="00F54D2D" w:rsidTr="009A3756">
        <w:tc>
          <w:tcPr>
            <w:tcW w:w="9638" w:type="dxa"/>
            <w:gridSpan w:val="3"/>
            <w:tcBorders>
              <w:top w:val="nil"/>
              <w:left w:val="nil"/>
              <w:bottom w:val="nil"/>
              <w:right w:val="nil"/>
            </w:tcBorders>
          </w:tcPr>
          <w:p w:rsidR="009A3756" w:rsidRPr="00F54D2D" w:rsidRDefault="009A3756" w:rsidP="00F54D2D">
            <w:pPr>
              <w:tabs>
                <w:tab w:val="left" w:pos="454"/>
              </w:tabs>
              <w:autoSpaceDE w:val="0"/>
              <w:autoSpaceDN w:val="0"/>
              <w:adjustRightInd w:val="0"/>
              <w:spacing w:after="0"/>
              <w:rPr>
                <w:rFonts w:ascii="Calibri" w:eastAsiaTheme="minorEastAsia" w:hAnsi="Calibri" w:cs="Calibri"/>
                <w:i/>
                <w:iCs/>
                <w:color w:val="000000"/>
                <w:sz w:val="16"/>
                <w:szCs w:val="22"/>
                <w:lang w:eastAsia="en-AU"/>
              </w:rPr>
            </w:pPr>
            <w:r w:rsidRPr="00F54D2D">
              <w:rPr>
                <w:rFonts w:ascii="Calibri" w:eastAsiaTheme="minorEastAsia" w:hAnsi="Calibri" w:cs="Calibri"/>
                <w:i/>
                <w:iCs/>
                <w:color w:val="000000"/>
                <w:sz w:val="16"/>
                <w:szCs w:val="22"/>
                <w:lang w:eastAsia="en-AU"/>
              </w:rPr>
              <w:t xml:space="preserve">(a) </w:t>
            </w:r>
            <w:r>
              <w:rPr>
                <w:rFonts w:ascii="Calibri" w:eastAsiaTheme="minorEastAsia" w:hAnsi="Calibri" w:cs="Calibri"/>
                <w:i/>
                <w:iCs/>
                <w:color w:val="000000"/>
                <w:sz w:val="16"/>
                <w:szCs w:val="22"/>
                <w:lang w:eastAsia="en-AU"/>
              </w:rPr>
              <w:tab/>
            </w:r>
            <w:r w:rsidRPr="00F54D2D">
              <w:rPr>
                <w:rFonts w:ascii="Calibri" w:eastAsiaTheme="minorEastAsia" w:hAnsi="Calibri" w:cs="Calibri"/>
                <w:i/>
                <w:iCs/>
                <w:color w:val="000000"/>
                <w:sz w:val="16"/>
                <w:szCs w:val="22"/>
                <w:lang w:eastAsia="en-AU"/>
              </w:rPr>
              <w:t>September 2014-15 comparative figures have been restated to reflect more current information.</w:t>
            </w:r>
          </w:p>
        </w:tc>
      </w:tr>
    </w:tbl>
    <w:p w:rsidR="00DD4FDE" w:rsidRDefault="00DD4FDE" w:rsidP="00DD4FDE">
      <w:r>
        <w:t xml:space="preserve"> </w:t>
      </w:r>
    </w:p>
    <w:p w:rsidR="00C5552E" w:rsidRDefault="00C5552E" w:rsidP="00DD4FDE">
      <w:pPr>
        <w:rPr>
          <w:rFonts w:ascii="Times New Roman" w:hAnsi="Times New Roman"/>
          <w:sz w:val="20"/>
          <w:lang w:eastAsia="en-AU"/>
        </w:rPr>
      </w:pPr>
    </w:p>
    <w:p w:rsidR="009A3756" w:rsidRDefault="009A3756" w:rsidP="009A3756">
      <w:pPr>
        <w:pStyle w:val="Tableheading"/>
      </w:pPr>
      <w:r w:rsidRPr="009A3756">
        <w:t>(b)</w:t>
      </w:r>
      <w:r w:rsidRPr="009A3756">
        <w:tab/>
        <w:t>Reconciliation of net result to net cash fl</w:t>
      </w:r>
      <w:r>
        <w:t>ows from operating activities</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7370"/>
        <w:gridCol w:w="1134"/>
      </w:tblGrid>
      <w:tr w:rsidR="009A3756" w:rsidRPr="00C5552E" w:rsidTr="009A3756">
        <w:trPr>
          <w:cantSplit/>
          <w:tblHeader/>
        </w:trPr>
        <w:tc>
          <w:tcPr>
            <w:tcW w:w="9638" w:type="dxa"/>
            <w:gridSpan w:val="3"/>
            <w:tcBorders>
              <w:top w:val="nil"/>
              <w:left w:val="nil"/>
              <w:bottom w:val="nil"/>
              <w:right w:val="nil"/>
            </w:tcBorders>
          </w:tcPr>
          <w:p w:rsidR="009A3756" w:rsidRPr="00C5552E" w:rsidRDefault="009A3756" w:rsidP="00C5552E">
            <w:pPr>
              <w:pStyle w:val="million"/>
              <w:rPr>
                <w:rFonts w:eastAsiaTheme="minorEastAsia"/>
                <w:lang w:eastAsia="en-AU"/>
              </w:rPr>
            </w:pPr>
            <w:r w:rsidRPr="00C5552E">
              <w:rPr>
                <w:rFonts w:eastAsiaTheme="minorEastAsia"/>
                <w:lang w:eastAsia="en-AU"/>
              </w:rPr>
              <w:t>($ million)</w:t>
            </w:r>
          </w:p>
        </w:tc>
      </w:tr>
      <w:tr w:rsidR="009A3756" w:rsidRPr="00C5552E" w:rsidTr="009A3756">
        <w:trPr>
          <w:cantSplit/>
          <w:tblHeader/>
        </w:trPr>
        <w:tc>
          <w:tcPr>
            <w:tcW w:w="1134" w:type="dxa"/>
            <w:tcBorders>
              <w:top w:val="single" w:sz="6" w:space="0" w:color="auto"/>
              <w:left w:val="single" w:sz="6" w:space="0" w:color="auto"/>
              <w:bottom w:val="nil"/>
              <w:right w:val="nil"/>
            </w:tcBorders>
            <w:shd w:val="solid" w:color="000000" w:fill="auto"/>
          </w:tcPr>
          <w:p w:rsidR="009A3756" w:rsidRPr="00C5552E" w:rsidRDefault="009A3756"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2014-15</w:t>
            </w:r>
          </w:p>
        </w:tc>
        <w:tc>
          <w:tcPr>
            <w:tcW w:w="7370" w:type="dxa"/>
            <w:tcBorders>
              <w:top w:val="single" w:sz="6" w:space="0" w:color="auto"/>
              <w:left w:val="nil"/>
              <w:bottom w:val="nil"/>
              <w:right w:val="nil"/>
            </w:tcBorders>
            <w:shd w:val="solid" w:color="000000" w:fill="auto"/>
          </w:tcPr>
          <w:p w:rsidR="009A3756" w:rsidRPr="00C5552E" w:rsidRDefault="009A3756" w:rsidP="00C5552E">
            <w:pPr>
              <w:autoSpaceDE w:val="0"/>
              <w:autoSpaceDN w:val="0"/>
              <w:adjustRightInd w:val="0"/>
              <w:spacing w:after="0"/>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w:t>
            </w:r>
          </w:p>
        </w:tc>
        <w:tc>
          <w:tcPr>
            <w:tcW w:w="1134" w:type="dxa"/>
            <w:tcBorders>
              <w:top w:val="single" w:sz="6" w:space="0" w:color="auto"/>
              <w:left w:val="nil"/>
              <w:bottom w:val="nil"/>
              <w:right w:val="nil"/>
            </w:tcBorders>
            <w:shd w:val="solid" w:color="000000" w:fill="auto"/>
          </w:tcPr>
          <w:p w:rsidR="009A3756" w:rsidRPr="00C5552E" w:rsidRDefault="009A3756"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2015-16</w:t>
            </w:r>
          </w:p>
        </w:tc>
      </w:tr>
      <w:tr w:rsidR="009A3756" w:rsidRPr="00C5552E" w:rsidTr="009A3756">
        <w:trPr>
          <w:cantSplit/>
          <w:tblHeader/>
        </w:trPr>
        <w:tc>
          <w:tcPr>
            <w:tcW w:w="1134" w:type="dxa"/>
            <w:tcBorders>
              <w:top w:val="nil"/>
              <w:left w:val="single" w:sz="6" w:space="0" w:color="auto"/>
              <w:bottom w:val="single" w:sz="6" w:space="0" w:color="auto"/>
              <w:right w:val="nil"/>
            </w:tcBorders>
            <w:shd w:val="solid" w:color="000000" w:fill="auto"/>
          </w:tcPr>
          <w:p w:rsidR="009A3756" w:rsidRPr="00C5552E" w:rsidRDefault="009A3756"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Actual</w:t>
            </w:r>
          </w:p>
          <w:p w:rsidR="009A3756" w:rsidRPr="00C5552E" w:rsidRDefault="009A3756" w:rsidP="00C5552E">
            <w:pPr>
              <w:autoSpaceDE w:val="0"/>
              <w:autoSpaceDN w:val="0"/>
              <w:adjustRightInd w:val="0"/>
              <w:spacing w:after="0"/>
              <w:jc w:val="right"/>
              <w:rPr>
                <w:rFonts w:ascii="Calibri" w:eastAsiaTheme="minorEastAsia" w:hAnsi="Calibri" w:cs="Calibri"/>
                <w:i/>
                <w:iCs/>
                <w:color w:val="FFFFFF"/>
                <w:sz w:val="22"/>
                <w:szCs w:val="22"/>
                <w:vertAlign w:val="superscript"/>
                <w:lang w:eastAsia="en-AU"/>
              </w:rPr>
            </w:pPr>
            <w:r w:rsidRPr="00C5552E">
              <w:rPr>
                <w:rFonts w:ascii="Calibri" w:eastAsiaTheme="minorEastAsia" w:hAnsi="Calibri" w:cs="Calibri"/>
                <w:i/>
                <w:iCs/>
                <w:color w:val="FFFFFF"/>
                <w:sz w:val="22"/>
                <w:szCs w:val="22"/>
                <w:lang w:eastAsia="en-AU"/>
              </w:rPr>
              <w:t>to Sep</w:t>
            </w:r>
            <w:r w:rsidRPr="00C5552E">
              <w:rPr>
                <w:rFonts w:ascii="Calibri" w:eastAsiaTheme="minorEastAsia" w:hAnsi="Calibri" w:cs="Calibri"/>
                <w:i/>
                <w:iCs/>
                <w:color w:val="FFFFFF"/>
                <w:sz w:val="22"/>
                <w:szCs w:val="22"/>
                <w:vertAlign w:val="superscript"/>
                <w:lang w:eastAsia="en-AU"/>
              </w:rPr>
              <w:t>(a)</w:t>
            </w:r>
          </w:p>
        </w:tc>
        <w:tc>
          <w:tcPr>
            <w:tcW w:w="7370" w:type="dxa"/>
            <w:tcBorders>
              <w:top w:val="nil"/>
              <w:left w:val="nil"/>
              <w:bottom w:val="single" w:sz="6" w:space="0" w:color="auto"/>
              <w:right w:val="nil"/>
            </w:tcBorders>
            <w:shd w:val="solid" w:color="000000" w:fill="auto"/>
          </w:tcPr>
          <w:p w:rsidR="009A3756" w:rsidRPr="00C5552E" w:rsidRDefault="009A3756" w:rsidP="00C5552E">
            <w:pPr>
              <w:autoSpaceDE w:val="0"/>
              <w:autoSpaceDN w:val="0"/>
              <w:adjustRightInd w:val="0"/>
              <w:spacing w:after="0"/>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w:t>
            </w:r>
          </w:p>
        </w:tc>
        <w:tc>
          <w:tcPr>
            <w:tcW w:w="1134" w:type="dxa"/>
            <w:tcBorders>
              <w:top w:val="nil"/>
              <w:left w:val="nil"/>
              <w:bottom w:val="single" w:sz="6" w:space="0" w:color="auto"/>
              <w:right w:val="single" w:sz="6" w:space="0" w:color="auto"/>
            </w:tcBorders>
            <w:shd w:val="solid" w:color="000000" w:fill="auto"/>
          </w:tcPr>
          <w:p w:rsidR="009A3756" w:rsidRPr="00C5552E" w:rsidRDefault="009A3756"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Actual</w:t>
            </w:r>
          </w:p>
          <w:p w:rsidR="009A3756" w:rsidRPr="00C5552E" w:rsidRDefault="009A3756"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 xml:space="preserve"> to Sep</w:t>
            </w:r>
          </w:p>
        </w:tc>
      </w:tr>
      <w:tr w:rsidR="009A3756" w:rsidRPr="00C5552E" w:rsidTr="009A3756">
        <w:trPr>
          <w:cantSplit/>
        </w:trPr>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 xml:space="preserve"> 351</w:t>
            </w:r>
          </w:p>
        </w:tc>
        <w:tc>
          <w:tcPr>
            <w:tcW w:w="7370"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Net result</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 xml:space="preserve"> 353</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Non-cash movements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597</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Depreciation and amortisation</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606</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3</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Revaluation of investments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29</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Assets (received)/provided free of charge</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Assets not previously recognised</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3</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Revaluation of assets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w:t>
            </w:r>
          </w:p>
        </w:tc>
      </w:tr>
      <w:tr w:rsidR="009A3756" w:rsidRPr="00C5552E" w:rsidTr="009A3756">
        <w:trPr>
          <w:cantSplit/>
        </w:trPr>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w:t>
            </w:r>
          </w:p>
        </w:tc>
        <w:tc>
          <w:tcPr>
            <w:tcW w:w="7370"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Discount/premium on other financial assets/borrowings</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r>
      <w:tr w:rsidR="009A3756" w:rsidRPr="00C5552E" w:rsidTr="009A3756">
        <w:trPr>
          <w:cantSplit/>
        </w:trPr>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 xml:space="preserve"> 600</w:t>
            </w:r>
          </w:p>
        </w:tc>
        <w:tc>
          <w:tcPr>
            <w:tcW w:w="7370"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Non-cash items total</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 xml:space="preserve"> 635</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Movements included in investing and financing activities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(23)</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Net gain/loss from sale of investments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w:t>
            </w:r>
          </w:p>
        </w:tc>
      </w:tr>
      <w:tr w:rsidR="009A3756" w:rsidRPr="00C5552E" w:rsidTr="009A3756">
        <w:trPr>
          <w:cantSplit/>
        </w:trPr>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w:t>
            </w:r>
          </w:p>
        </w:tc>
        <w:tc>
          <w:tcPr>
            <w:tcW w:w="7370"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Net revenues from sale of non-financial assets</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13</w:t>
            </w:r>
          </w:p>
        </w:tc>
      </w:tr>
      <w:tr w:rsidR="009A3756" w:rsidRPr="00C5552E" w:rsidTr="009A3756">
        <w:trPr>
          <w:cantSplit/>
        </w:trPr>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(28)</w:t>
            </w:r>
          </w:p>
        </w:tc>
        <w:tc>
          <w:tcPr>
            <w:tcW w:w="7370"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Items Included in investing and financing activities total</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 xml:space="preserve"> 11</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Movements in assets and liabilities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19</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Increase/(decrease) in provision for doubtful debts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40</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(376)</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Increase/(decrease) in payables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(193)</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197</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Increase/(decrease) in employee benefits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70</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50</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Increase/(decrease) in superannuation</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(31)</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Increase/(decrease) in other provisions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(54)</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(247)</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(Increase)/decrease in receivables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(382)</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(203)</w:t>
            </w:r>
          </w:p>
        </w:tc>
        <w:tc>
          <w:tcPr>
            <w:tcW w:w="7370"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(Increase)/decrease in other non-financial assets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(205)</w:t>
            </w:r>
          </w:p>
        </w:tc>
      </w:tr>
      <w:tr w:rsidR="009A3756" w:rsidRPr="00C5552E" w:rsidTr="009A3756">
        <w:trPr>
          <w:cantSplit/>
        </w:trPr>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(592)</w:t>
            </w:r>
          </w:p>
        </w:tc>
        <w:tc>
          <w:tcPr>
            <w:tcW w:w="7370"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Changes in assets and liabilities total</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(719)</w:t>
            </w:r>
          </w:p>
        </w:tc>
      </w:tr>
      <w:tr w:rsidR="009A3756" w:rsidRPr="00C5552E" w:rsidTr="009A3756">
        <w:trPr>
          <w:cantSplit/>
        </w:trPr>
        <w:tc>
          <w:tcPr>
            <w:tcW w:w="1134" w:type="dxa"/>
            <w:tcBorders>
              <w:top w:val="single" w:sz="6" w:space="0" w:color="auto"/>
              <w:left w:val="nil"/>
              <w:bottom w:val="single" w:sz="12"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 xml:space="preserve"> 332</w:t>
            </w:r>
          </w:p>
        </w:tc>
        <w:tc>
          <w:tcPr>
            <w:tcW w:w="7370" w:type="dxa"/>
            <w:tcBorders>
              <w:top w:val="single" w:sz="6" w:space="0" w:color="auto"/>
              <w:left w:val="nil"/>
              <w:bottom w:val="single" w:sz="12"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Net cash flows from operating activities</w:t>
            </w:r>
          </w:p>
        </w:tc>
        <w:tc>
          <w:tcPr>
            <w:tcW w:w="1134" w:type="dxa"/>
            <w:tcBorders>
              <w:top w:val="single" w:sz="6" w:space="0" w:color="auto"/>
              <w:left w:val="nil"/>
              <w:bottom w:val="single" w:sz="12"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 xml:space="preserve"> 280</w:t>
            </w:r>
          </w:p>
        </w:tc>
      </w:tr>
      <w:tr w:rsidR="009A3756" w:rsidRPr="00C5552E" w:rsidTr="009A3756">
        <w:trPr>
          <w:cantSplit/>
        </w:trPr>
        <w:tc>
          <w:tcPr>
            <w:tcW w:w="9638" w:type="dxa"/>
            <w:gridSpan w:val="3"/>
            <w:tcBorders>
              <w:top w:val="single" w:sz="12" w:space="0" w:color="auto"/>
              <w:left w:val="nil"/>
              <w:bottom w:val="nil"/>
              <w:right w:val="nil"/>
            </w:tcBorders>
            <w:shd w:val="clear" w:color="auto" w:fill="auto"/>
          </w:tcPr>
          <w:p w:rsidR="009A3756" w:rsidRPr="00C5552E" w:rsidRDefault="009A3756" w:rsidP="00C5552E">
            <w:pPr>
              <w:pStyle w:val="Notes"/>
              <w:rPr>
                <w:rFonts w:eastAsiaTheme="minorEastAsia"/>
                <w:lang w:eastAsia="en-AU"/>
              </w:rPr>
            </w:pPr>
            <w:r w:rsidRPr="00C5552E">
              <w:rPr>
                <w:rFonts w:eastAsiaTheme="minorEastAsia"/>
                <w:lang w:eastAsia="en-AU"/>
              </w:rPr>
              <w:t>Note:</w:t>
            </w:r>
          </w:p>
        </w:tc>
      </w:tr>
      <w:tr w:rsidR="009A3756" w:rsidRPr="00C5552E" w:rsidTr="009A3756">
        <w:trPr>
          <w:cantSplit/>
        </w:trPr>
        <w:tc>
          <w:tcPr>
            <w:tcW w:w="9638" w:type="dxa"/>
            <w:gridSpan w:val="3"/>
            <w:tcBorders>
              <w:top w:val="nil"/>
              <w:left w:val="nil"/>
              <w:bottom w:val="nil"/>
              <w:right w:val="nil"/>
            </w:tcBorders>
          </w:tcPr>
          <w:p w:rsidR="009A3756" w:rsidRPr="00C5552E" w:rsidRDefault="009A3756" w:rsidP="00C5552E">
            <w:pPr>
              <w:pStyle w:val="Notes"/>
              <w:rPr>
                <w:rFonts w:eastAsiaTheme="minorEastAsia"/>
                <w:lang w:eastAsia="en-AU"/>
              </w:rPr>
            </w:pPr>
            <w:r>
              <w:rPr>
                <w:rFonts w:eastAsiaTheme="minorEastAsia"/>
                <w:lang w:eastAsia="en-AU"/>
              </w:rPr>
              <w:t>(a)</w:t>
            </w:r>
            <w:r>
              <w:rPr>
                <w:rFonts w:eastAsiaTheme="minorEastAsia"/>
                <w:lang w:eastAsia="en-AU"/>
              </w:rPr>
              <w:tab/>
              <w:t>September 2014-15 comparative figures have been restated to reflect more current information.</w:t>
            </w:r>
          </w:p>
        </w:tc>
      </w:tr>
    </w:tbl>
    <w:p w:rsidR="00C5552E" w:rsidRDefault="00C5552E" w:rsidP="00C5552E">
      <w:pPr>
        <w:spacing w:after="0"/>
      </w:pPr>
    </w:p>
    <w:p w:rsidR="00C5552E" w:rsidRDefault="00C5552E" w:rsidP="00C5552E">
      <w:pPr>
        <w:spacing w:after="0"/>
        <w:rPr>
          <w:rFonts w:ascii="Times New Roman" w:hAnsi="Times New Roman"/>
          <w:sz w:val="20"/>
          <w:lang w:eastAsia="en-AU"/>
        </w:rPr>
      </w:pPr>
    </w:p>
    <w:p w:rsidR="009A3756" w:rsidRDefault="009A3756" w:rsidP="009A3756">
      <w:pPr>
        <w:pStyle w:val="Heading2NotesQtrly"/>
      </w:pPr>
      <w:bookmarkStart w:id="29" w:name="_Toc435107451"/>
      <w:r>
        <w:lastRenderedPageBreak/>
        <w:t>Note 19:</w:t>
      </w:r>
      <w:r>
        <w:tab/>
        <w:t>Public Account</w:t>
      </w:r>
      <w:bookmarkEnd w:id="29"/>
      <w:r>
        <w:tab/>
      </w:r>
    </w:p>
    <w:p w:rsidR="009A3756" w:rsidRDefault="009A3756" w:rsidP="009A3756">
      <w:pPr>
        <w:pStyle w:val="Tableheading"/>
      </w:pPr>
      <w:r>
        <w:t>(a)</w:t>
      </w:r>
      <w:r>
        <w:tab/>
        <w:t>Consolidated fund receipts and payments</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9A3756" w:rsidRPr="00C5552E" w:rsidTr="009A3756">
        <w:trPr>
          <w:cantSplit/>
          <w:tblHeader/>
        </w:trPr>
        <w:tc>
          <w:tcPr>
            <w:tcW w:w="9638" w:type="dxa"/>
            <w:gridSpan w:val="4"/>
            <w:tcBorders>
              <w:top w:val="nil"/>
              <w:left w:val="nil"/>
              <w:bottom w:val="nil"/>
              <w:right w:val="nil"/>
            </w:tcBorders>
          </w:tcPr>
          <w:p w:rsidR="009A3756" w:rsidRPr="00C5552E" w:rsidRDefault="009A3756" w:rsidP="00C5552E">
            <w:pPr>
              <w:pStyle w:val="million"/>
              <w:rPr>
                <w:rFonts w:eastAsiaTheme="minorEastAsia"/>
                <w:lang w:eastAsia="en-AU"/>
              </w:rPr>
            </w:pPr>
            <w:r w:rsidRPr="00C5552E">
              <w:rPr>
                <w:rFonts w:eastAsiaTheme="minorEastAsia"/>
                <w:lang w:eastAsia="en-AU"/>
              </w:rPr>
              <w:t>($ million)</w:t>
            </w:r>
          </w:p>
        </w:tc>
      </w:tr>
      <w:tr w:rsidR="00DB2687" w:rsidRPr="00C5552E" w:rsidTr="00961100">
        <w:trPr>
          <w:cantSplit/>
          <w:tblHeader/>
        </w:trPr>
        <w:tc>
          <w:tcPr>
            <w:tcW w:w="1134" w:type="dxa"/>
            <w:tcBorders>
              <w:top w:val="single" w:sz="6" w:space="0" w:color="auto"/>
              <w:left w:val="single" w:sz="6" w:space="0" w:color="auto"/>
              <w:bottom w:val="nil"/>
              <w:right w:val="nil"/>
            </w:tcBorders>
            <w:shd w:val="solid" w:color="000000" w:fill="auto"/>
          </w:tcPr>
          <w:p w:rsidR="00DB2687" w:rsidRPr="00C5552E" w:rsidRDefault="00DB2687"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2014-15</w:t>
            </w:r>
          </w:p>
        </w:tc>
        <w:tc>
          <w:tcPr>
            <w:tcW w:w="6236" w:type="dxa"/>
            <w:tcBorders>
              <w:top w:val="single" w:sz="6" w:space="0" w:color="auto"/>
              <w:left w:val="nil"/>
              <w:bottom w:val="nil"/>
              <w:right w:val="nil"/>
            </w:tcBorders>
            <w:shd w:val="solid" w:color="000000" w:fill="auto"/>
          </w:tcPr>
          <w:p w:rsidR="00DB2687" w:rsidRPr="00C5552E" w:rsidRDefault="00DB2687" w:rsidP="00C5552E">
            <w:pPr>
              <w:autoSpaceDE w:val="0"/>
              <w:autoSpaceDN w:val="0"/>
              <w:adjustRightInd w:val="0"/>
              <w:spacing w:after="0"/>
              <w:jc w:val="center"/>
              <w:rPr>
                <w:rFonts w:ascii="Calibri" w:eastAsiaTheme="minorEastAsia" w:hAnsi="Calibri" w:cs="Calibri"/>
                <w:color w:val="FFFFFF"/>
                <w:sz w:val="22"/>
                <w:szCs w:val="22"/>
                <w:lang w:eastAsia="en-AU"/>
              </w:rPr>
            </w:pPr>
            <w:r w:rsidRPr="00C5552E">
              <w:rPr>
                <w:rFonts w:ascii="Calibri" w:eastAsiaTheme="minorEastAsia" w:hAnsi="Calibri" w:cs="Calibri"/>
                <w:color w:val="FFFFFF"/>
                <w:sz w:val="22"/>
                <w:szCs w:val="22"/>
                <w:lang w:eastAsia="en-AU"/>
              </w:rPr>
              <w:t xml:space="preserve"> </w:t>
            </w:r>
          </w:p>
        </w:tc>
        <w:tc>
          <w:tcPr>
            <w:tcW w:w="2268" w:type="dxa"/>
            <w:gridSpan w:val="2"/>
            <w:tcBorders>
              <w:top w:val="single" w:sz="6" w:space="0" w:color="auto"/>
              <w:left w:val="nil"/>
              <w:bottom w:val="nil"/>
              <w:right w:val="single" w:sz="6" w:space="0" w:color="auto"/>
            </w:tcBorders>
            <w:shd w:val="solid" w:color="000000" w:fill="auto"/>
          </w:tcPr>
          <w:p w:rsidR="00DB2687" w:rsidRPr="00C5552E" w:rsidRDefault="00DB2687" w:rsidP="00C5552E">
            <w:pPr>
              <w:autoSpaceDE w:val="0"/>
              <w:autoSpaceDN w:val="0"/>
              <w:adjustRightInd w:val="0"/>
              <w:spacing w:after="0"/>
              <w:jc w:val="center"/>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2015-16</w:t>
            </w:r>
          </w:p>
        </w:tc>
      </w:tr>
      <w:tr w:rsidR="00DB2687" w:rsidRPr="00C5552E" w:rsidTr="003851A4">
        <w:trPr>
          <w:cantSplit/>
          <w:trHeight w:val="537"/>
          <w:tblHeader/>
        </w:trPr>
        <w:tc>
          <w:tcPr>
            <w:tcW w:w="1134" w:type="dxa"/>
            <w:tcBorders>
              <w:top w:val="nil"/>
              <w:left w:val="single" w:sz="6" w:space="0" w:color="auto"/>
              <w:right w:val="nil"/>
            </w:tcBorders>
            <w:shd w:val="solid" w:color="000000" w:fill="auto"/>
          </w:tcPr>
          <w:p w:rsidR="00DB2687" w:rsidRPr="00C5552E" w:rsidRDefault="00DB2687"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 xml:space="preserve"> Actual </w:t>
            </w:r>
          </w:p>
          <w:p w:rsidR="00DB2687" w:rsidRPr="00C5552E" w:rsidRDefault="00DB2687"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C5552E" w:rsidRDefault="00DB2687" w:rsidP="00C5552E">
            <w:pPr>
              <w:autoSpaceDE w:val="0"/>
              <w:autoSpaceDN w:val="0"/>
              <w:adjustRightInd w:val="0"/>
              <w:spacing w:after="0"/>
              <w:jc w:val="center"/>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 xml:space="preserve"> </w:t>
            </w:r>
          </w:p>
          <w:p w:rsidR="00DB2687" w:rsidRPr="00C5552E" w:rsidRDefault="00DB2687" w:rsidP="00C5552E">
            <w:pPr>
              <w:autoSpaceDE w:val="0"/>
              <w:autoSpaceDN w:val="0"/>
              <w:adjustRightInd w:val="0"/>
              <w:spacing w:after="0"/>
              <w:jc w:val="center"/>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tcPr>
          <w:p w:rsidR="00DB2687" w:rsidRPr="00C5552E" w:rsidRDefault="00DB2687"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 xml:space="preserve"> Actual </w:t>
            </w:r>
          </w:p>
          <w:p w:rsidR="00DB2687" w:rsidRPr="00C5552E" w:rsidRDefault="00DB2687"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to Sep</w:t>
            </w:r>
          </w:p>
        </w:tc>
        <w:tc>
          <w:tcPr>
            <w:tcW w:w="1134" w:type="dxa"/>
            <w:tcBorders>
              <w:top w:val="nil"/>
              <w:left w:val="nil"/>
              <w:right w:val="single" w:sz="6" w:space="0" w:color="auto"/>
            </w:tcBorders>
            <w:shd w:val="solid" w:color="000000" w:fill="auto"/>
          </w:tcPr>
          <w:p w:rsidR="00DB2687" w:rsidRPr="00C5552E" w:rsidRDefault="00DB2687"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Annual</w:t>
            </w:r>
          </w:p>
          <w:p w:rsidR="00DB2687" w:rsidRPr="00C5552E" w:rsidRDefault="00DB2687" w:rsidP="00C5552E">
            <w:pPr>
              <w:autoSpaceDE w:val="0"/>
              <w:autoSpaceDN w:val="0"/>
              <w:adjustRightInd w:val="0"/>
              <w:spacing w:after="0"/>
              <w:jc w:val="right"/>
              <w:rPr>
                <w:rFonts w:ascii="Calibri" w:eastAsiaTheme="minorEastAsia" w:hAnsi="Calibri" w:cs="Calibri"/>
                <w:i/>
                <w:iCs/>
                <w:color w:val="FFFFFF"/>
                <w:sz w:val="22"/>
                <w:szCs w:val="22"/>
                <w:lang w:eastAsia="en-AU"/>
              </w:rPr>
            </w:pPr>
            <w:r w:rsidRPr="00C5552E">
              <w:rPr>
                <w:rFonts w:ascii="Calibri" w:eastAsiaTheme="minorEastAsia" w:hAnsi="Calibri" w:cs="Calibri"/>
                <w:i/>
                <w:iCs/>
                <w:color w:val="FFFFFF"/>
                <w:sz w:val="22"/>
                <w:szCs w:val="22"/>
                <w:lang w:eastAsia="en-AU"/>
              </w:rPr>
              <w:t>budget</w:t>
            </w:r>
          </w:p>
        </w:tc>
      </w:tr>
      <w:tr w:rsidR="009A3756" w:rsidRPr="00C5552E" w:rsidTr="009A3756">
        <w:trPr>
          <w:cantSplit/>
        </w:trPr>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i/>
                <w:iCs/>
                <w:color w:val="000000"/>
                <w:sz w:val="22"/>
                <w:szCs w:val="22"/>
                <w:lang w:eastAsia="en-AU"/>
              </w:rPr>
            </w:pPr>
            <w:r w:rsidRPr="00C5552E">
              <w:rPr>
                <w:rFonts w:ascii="Calibri" w:eastAsiaTheme="minorEastAsia" w:hAnsi="Calibri" w:cs="Calibri"/>
                <w:i/>
                <w:iCs/>
                <w:color w:val="000000"/>
                <w:sz w:val="22"/>
                <w:szCs w:val="22"/>
                <w:lang w:eastAsia="en-AU"/>
              </w:rPr>
              <w:t xml:space="preserve"> </w:t>
            </w:r>
          </w:p>
        </w:tc>
        <w:tc>
          <w:tcPr>
            <w:tcW w:w="6236"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Receipts</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i/>
                <w:iCs/>
                <w:color w:val="000000"/>
                <w:sz w:val="22"/>
                <w:szCs w:val="22"/>
                <w:lang w:eastAsia="en-AU"/>
              </w:rPr>
            </w:pPr>
            <w:r w:rsidRPr="00C5552E">
              <w:rPr>
                <w:rFonts w:ascii="Calibri" w:eastAsiaTheme="minorEastAsia" w:hAnsi="Calibri" w:cs="Calibri"/>
                <w:i/>
                <w:iCs/>
                <w:color w:val="000000"/>
                <w:sz w:val="22"/>
                <w:szCs w:val="22"/>
                <w:lang w:eastAsia="en-AU"/>
              </w:rPr>
              <w:t xml:space="preserve"> </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i/>
                <w:iCs/>
                <w:color w:val="000000"/>
                <w:sz w:val="22"/>
                <w:szCs w:val="22"/>
                <w:lang w:eastAsia="en-AU"/>
              </w:rPr>
            </w:pPr>
            <w:r w:rsidRPr="00C5552E">
              <w:rPr>
                <w:rFonts w:ascii="Calibri" w:eastAsiaTheme="minorEastAsia" w:hAnsi="Calibri" w:cs="Calibri"/>
                <w:i/>
                <w:iCs/>
                <w:color w:val="000000"/>
                <w:sz w:val="22"/>
                <w:szCs w:val="22"/>
                <w:lang w:eastAsia="en-AU"/>
              </w:rPr>
              <w:t xml:space="preserve"> </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4 571</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Taxation</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4 883</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19 324</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207</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Fines and regulatory fees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199</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887</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3 788</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Grants received</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3 986</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17 128</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1 414</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Sales of goods and services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1 449</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5 721</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123</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Interest received</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123</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536</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50</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Public authority receipts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38</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1 129</w:t>
            </w:r>
          </w:p>
        </w:tc>
      </w:tr>
      <w:tr w:rsidR="009A3756" w:rsidRPr="00C5552E" w:rsidTr="009A3756">
        <w:trPr>
          <w:cantSplit/>
        </w:trPr>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56</w:t>
            </w:r>
          </w:p>
        </w:tc>
        <w:tc>
          <w:tcPr>
            <w:tcW w:w="6236"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Other receipts</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51</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306</w:t>
            </w:r>
          </w:p>
        </w:tc>
      </w:tr>
      <w:tr w:rsidR="009A3756" w:rsidRPr="00C5552E" w:rsidTr="009A3756">
        <w:trPr>
          <w:cantSplit/>
        </w:trPr>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10 208</w:t>
            </w:r>
          </w:p>
        </w:tc>
        <w:tc>
          <w:tcPr>
            <w:tcW w:w="6236"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Total operating activities</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10 729</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45 031</w:t>
            </w:r>
          </w:p>
        </w:tc>
      </w:tr>
      <w:tr w:rsidR="009A3756" w:rsidRPr="00C5552E" w:rsidTr="009A3756">
        <w:trPr>
          <w:cantSplit/>
        </w:trPr>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314</w:t>
            </w:r>
          </w:p>
        </w:tc>
        <w:tc>
          <w:tcPr>
            <w:tcW w:w="6236"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Total inflows from investing and financing</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696</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3 166</w:t>
            </w:r>
          </w:p>
        </w:tc>
      </w:tr>
      <w:tr w:rsidR="009A3756" w:rsidRPr="00C5552E" w:rsidTr="009A3756">
        <w:trPr>
          <w:cantSplit/>
        </w:trPr>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10 522</w:t>
            </w:r>
          </w:p>
        </w:tc>
        <w:tc>
          <w:tcPr>
            <w:tcW w:w="6236"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Total receipts</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11 425</w:t>
            </w:r>
          </w:p>
        </w:tc>
        <w:tc>
          <w:tcPr>
            <w:tcW w:w="1134" w:type="dxa"/>
            <w:tcBorders>
              <w:top w:val="single" w:sz="6" w:space="0" w:color="auto"/>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48 198</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lang w:eastAsia="en-AU"/>
              </w:rPr>
            </w:pPr>
            <w:r w:rsidRPr="00C5552E">
              <w:rPr>
                <w:rFonts w:ascii="Calibri" w:eastAsiaTheme="minorEastAsia" w:hAnsi="Calibri" w:cs="Calibri"/>
                <w:color w:val="000000"/>
                <w:sz w:val="22"/>
                <w:lang w:eastAsia="en-AU"/>
              </w:rPr>
              <w:t xml:space="preserve"> </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Payments to departments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lang w:eastAsia="en-AU"/>
              </w:rPr>
            </w:pPr>
            <w:r w:rsidRPr="00C5552E">
              <w:rPr>
                <w:rFonts w:ascii="Calibri" w:eastAsiaTheme="minorEastAsia" w:hAnsi="Calibri" w:cs="Calibri"/>
                <w:color w:val="000000"/>
                <w:sz w:val="22"/>
                <w:lang w:eastAsia="en-AU"/>
              </w:rPr>
              <w:t xml:space="preserve"> </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rPr>
                <w:rFonts w:ascii="Calibri" w:eastAsiaTheme="minorEastAsia" w:hAnsi="Calibri" w:cs="Calibri"/>
                <w:color w:val="000000"/>
                <w:sz w:val="22"/>
                <w:lang w:eastAsia="en-AU"/>
              </w:rPr>
            </w:pPr>
            <w:r w:rsidRPr="00C5552E">
              <w:rPr>
                <w:rFonts w:ascii="Calibri" w:eastAsiaTheme="minorEastAsia" w:hAnsi="Calibri" w:cs="Calibri"/>
                <w:color w:val="000000"/>
                <w:sz w:val="22"/>
                <w:lang w:eastAsia="en-AU"/>
              </w:rPr>
              <w:t xml:space="preserve"> </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277</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Economic Development, Jobs, Transport and Resources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2 122</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8 996</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2 701</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Education and Training</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2 972</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11 412</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540</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Environment, Land, Water and Planning</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456</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1 891</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2 890</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Health</w:t>
            </w:r>
            <w:r>
              <w:rPr>
                <w:rFonts w:ascii="Calibri" w:eastAsiaTheme="minorEastAsia" w:hAnsi="Calibri" w:cs="Calibri"/>
                <w:color w:val="000000"/>
                <w:sz w:val="22"/>
                <w:szCs w:val="22"/>
                <w:lang w:eastAsia="en-AU"/>
              </w:rPr>
              <w:t xml:space="preserve"> and Human Services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4 085</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14 186</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1 472</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Justice and Regulation</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1 643</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5 908</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156</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Premier and Cabinet</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80</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399</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864</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Treasury and Finance</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953</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5 377</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40</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Parliament</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42</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174</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67</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Courts</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131</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538</w:t>
            </w:r>
          </w:p>
        </w:tc>
      </w:tr>
      <w:tr w:rsidR="009A3756" w:rsidRPr="00C5552E" w:rsidTr="009A3756">
        <w:trPr>
          <w:cantSplit/>
        </w:trPr>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 xml:space="preserve"> 974</w:t>
            </w:r>
          </w:p>
        </w:tc>
        <w:tc>
          <w:tcPr>
            <w:tcW w:w="6236" w:type="dxa"/>
            <w:tcBorders>
              <w:top w:val="nil"/>
              <w:left w:val="nil"/>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Pr>
                <w:rFonts w:ascii="Calibri" w:eastAsiaTheme="minorEastAsia" w:hAnsi="Calibri" w:cs="Calibri"/>
                <w:color w:val="000000"/>
                <w:sz w:val="22"/>
                <w:szCs w:val="22"/>
                <w:lang w:eastAsia="en-AU"/>
              </w:rPr>
              <w:t>Human Services</w:t>
            </w:r>
            <w:r w:rsidRPr="00C5552E">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w:t>
            </w:r>
          </w:p>
        </w:tc>
        <w:tc>
          <w:tcPr>
            <w:tcW w:w="1134" w:type="dxa"/>
            <w:tcBorders>
              <w:top w:val="nil"/>
              <w:left w:val="nil"/>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w:t>
            </w:r>
          </w:p>
        </w:tc>
      </w:tr>
      <w:tr w:rsidR="009A3756" w:rsidRPr="00C5552E" w:rsidTr="009A3756">
        <w:trPr>
          <w:cantSplit/>
        </w:trPr>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1 753</w:t>
            </w:r>
          </w:p>
        </w:tc>
        <w:tc>
          <w:tcPr>
            <w:tcW w:w="6236"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C5552E">
              <w:rPr>
                <w:rFonts w:ascii="Calibri" w:eastAsiaTheme="minorEastAsia" w:hAnsi="Calibri" w:cs="Calibri"/>
                <w:color w:val="000000"/>
                <w:sz w:val="22"/>
                <w:szCs w:val="22"/>
                <w:lang w:eastAsia="en-AU"/>
              </w:rPr>
              <w:t>Transport, Pl</w:t>
            </w:r>
            <w:r>
              <w:rPr>
                <w:rFonts w:ascii="Calibri" w:eastAsiaTheme="minorEastAsia" w:hAnsi="Calibri" w:cs="Calibri"/>
                <w:color w:val="000000"/>
                <w:sz w:val="22"/>
                <w:szCs w:val="22"/>
                <w:lang w:eastAsia="en-AU"/>
              </w:rPr>
              <w:t>anning and Local Infrastructure</w:t>
            </w:r>
            <w:r w:rsidRPr="00C5552E">
              <w:rPr>
                <w:rFonts w:ascii="Calibri" w:eastAsiaTheme="minorEastAsia" w:hAnsi="Calibri" w:cs="Calibri"/>
                <w:color w:val="000000"/>
                <w:sz w:val="22"/>
                <w:szCs w:val="22"/>
                <w:vertAlign w:val="superscript"/>
                <w:lang w:eastAsia="en-AU"/>
              </w:rPr>
              <w:t>(a)</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w:t>
            </w:r>
          </w:p>
        </w:tc>
        <w:tc>
          <w:tcPr>
            <w:tcW w:w="1134" w:type="dxa"/>
            <w:tcBorders>
              <w:top w:val="nil"/>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color w:val="000000"/>
                <w:sz w:val="22"/>
                <w:szCs w:val="22"/>
                <w:lang w:eastAsia="en-AU"/>
              </w:rPr>
            </w:pPr>
            <w:r w:rsidRPr="00C5552E">
              <w:rPr>
                <w:rFonts w:ascii="Calibri" w:eastAsiaTheme="minorEastAsia" w:hAnsi="Calibri" w:cs="Calibri"/>
                <w:color w:val="000000"/>
                <w:sz w:val="22"/>
                <w:szCs w:val="22"/>
                <w:lang w:eastAsia="en-AU"/>
              </w:rPr>
              <w:t>..</w:t>
            </w:r>
          </w:p>
        </w:tc>
      </w:tr>
      <w:tr w:rsidR="009A3756" w:rsidRPr="00C5552E" w:rsidTr="009A3756">
        <w:trPr>
          <w:cantSplit/>
        </w:trPr>
        <w:tc>
          <w:tcPr>
            <w:tcW w:w="1134" w:type="dxa"/>
            <w:tcBorders>
              <w:top w:val="single" w:sz="6" w:space="0" w:color="auto"/>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11 734</w:t>
            </w:r>
          </w:p>
        </w:tc>
        <w:tc>
          <w:tcPr>
            <w:tcW w:w="6236" w:type="dxa"/>
            <w:tcBorders>
              <w:top w:val="single" w:sz="6" w:space="0" w:color="auto"/>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Pr>
                <w:rFonts w:ascii="Calibri" w:eastAsiaTheme="minorEastAsia" w:hAnsi="Calibri" w:cs="Calibri"/>
                <w:b/>
                <w:bCs/>
                <w:color w:val="000000"/>
                <w:sz w:val="22"/>
                <w:szCs w:val="22"/>
                <w:lang w:eastAsia="en-AU"/>
              </w:rPr>
              <w:t>Total payments</w:t>
            </w:r>
            <w:r w:rsidRPr="00C5552E">
              <w:rPr>
                <w:rFonts w:ascii="Calibri" w:eastAsiaTheme="minorEastAsia" w:hAnsi="Calibri" w:cs="Calibri"/>
                <w:b/>
                <w:bCs/>
                <w:color w:val="000000"/>
                <w:sz w:val="22"/>
                <w:szCs w:val="22"/>
                <w:vertAlign w:val="superscript"/>
                <w:lang w:eastAsia="en-AU"/>
              </w:rPr>
              <w:t>(b)</w:t>
            </w:r>
          </w:p>
        </w:tc>
        <w:tc>
          <w:tcPr>
            <w:tcW w:w="1134" w:type="dxa"/>
            <w:tcBorders>
              <w:top w:val="single" w:sz="6" w:space="0" w:color="auto"/>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12 483</w:t>
            </w:r>
          </w:p>
        </w:tc>
        <w:tc>
          <w:tcPr>
            <w:tcW w:w="1134" w:type="dxa"/>
            <w:tcBorders>
              <w:top w:val="single" w:sz="6" w:space="0" w:color="auto"/>
              <w:left w:val="nil"/>
              <w:bottom w:val="single" w:sz="6"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48 883</w:t>
            </w:r>
          </w:p>
        </w:tc>
      </w:tr>
      <w:tr w:rsidR="009A3756" w:rsidRPr="00C5552E" w:rsidTr="009A3756">
        <w:trPr>
          <w:cantSplit/>
        </w:trPr>
        <w:tc>
          <w:tcPr>
            <w:tcW w:w="1134" w:type="dxa"/>
            <w:tcBorders>
              <w:top w:val="single" w:sz="6" w:space="0" w:color="auto"/>
              <w:left w:val="nil"/>
              <w:bottom w:val="single" w:sz="12"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(1 212)</w:t>
            </w:r>
          </w:p>
        </w:tc>
        <w:tc>
          <w:tcPr>
            <w:tcW w:w="6236" w:type="dxa"/>
            <w:tcBorders>
              <w:top w:val="single" w:sz="6" w:space="0" w:color="auto"/>
              <w:left w:val="nil"/>
              <w:bottom w:val="single" w:sz="12" w:space="0" w:color="auto"/>
              <w:right w:val="nil"/>
            </w:tcBorders>
            <w:shd w:val="clear" w:color="auto" w:fill="FFFFFF"/>
          </w:tcPr>
          <w:p w:rsidR="009A3756" w:rsidRPr="00C5552E" w:rsidRDefault="009A3756" w:rsidP="00C5552E">
            <w:pPr>
              <w:autoSpaceDE w:val="0"/>
              <w:autoSpaceDN w:val="0"/>
              <w:adjustRightInd w:val="0"/>
              <w:spacing w:after="0"/>
              <w:ind w:left="340" w:hanging="227"/>
              <w:rPr>
                <w:rFonts w:ascii="Calibri" w:eastAsiaTheme="minorEastAsia" w:hAnsi="Calibri" w:cs="Calibri"/>
                <w:b/>
                <w:bCs/>
                <w:color w:val="000000"/>
                <w:sz w:val="22"/>
                <w:szCs w:val="22"/>
                <w:vertAlign w:val="superscript"/>
                <w:lang w:eastAsia="en-AU"/>
              </w:rPr>
            </w:pPr>
            <w:r>
              <w:rPr>
                <w:rFonts w:ascii="Calibri" w:eastAsiaTheme="minorEastAsia" w:hAnsi="Calibri" w:cs="Calibri"/>
                <w:b/>
                <w:bCs/>
                <w:color w:val="000000"/>
                <w:sz w:val="22"/>
                <w:szCs w:val="22"/>
                <w:lang w:eastAsia="en-AU"/>
              </w:rPr>
              <w:t>Net receipts/(payments)</w:t>
            </w:r>
            <w:r w:rsidRPr="00C5552E">
              <w:rPr>
                <w:rFonts w:ascii="Calibri" w:eastAsiaTheme="minorEastAsia" w:hAnsi="Calibri" w:cs="Calibri"/>
                <w:b/>
                <w:bCs/>
                <w:color w:val="000000"/>
                <w:sz w:val="22"/>
                <w:szCs w:val="22"/>
                <w:vertAlign w:val="superscript"/>
                <w:lang w:eastAsia="en-AU"/>
              </w:rPr>
              <w:t>(b)</w:t>
            </w:r>
          </w:p>
        </w:tc>
        <w:tc>
          <w:tcPr>
            <w:tcW w:w="1134" w:type="dxa"/>
            <w:tcBorders>
              <w:top w:val="single" w:sz="6" w:space="0" w:color="auto"/>
              <w:left w:val="nil"/>
              <w:bottom w:val="single" w:sz="12"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sidRPr="00C5552E">
              <w:rPr>
                <w:rFonts w:ascii="Calibri" w:eastAsiaTheme="minorEastAsia" w:hAnsi="Calibri" w:cs="Calibri"/>
                <w:b/>
                <w:bCs/>
                <w:color w:val="000000"/>
                <w:sz w:val="22"/>
                <w:szCs w:val="22"/>
                <w:lang w:eastAsia="en-AU"/>
              </w:rPr>
              <w:t>(1 058)</w:t>
            </w:r>
          </w:p>
        </w:tc>
        <w:tc>
          <w:tcPr>
            <w:tcW w:w="1134" w:type="dxa"/>
            <w:tcBorders>
              <w:top w:val="single" w:sz="6" w:space="0" w:color="auto"/>
              <w:left w:val="nil"/>
              <w:bottom w:val="single" w:sz="12" w:space="0" w:color="auto"/>
              <w:right w:val="nil"/>
            </w:tcBorders>
            <w:shd w:val="clear" w:color="auto" w:fill="FFFFFF"/>
          </w:tcPr>
          <w:p w:rsidR="009A3756" w:rsidRPr="00C5552E" w:rsidRDefault="009A3756" w:rsidP="00C5552E">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(686)</w:t>
            </w:r>
          </w:p>
        </w:tc>
      </w:tr>
      <w:tr w:rsidR="009A3756" w:rsidRPr="00C5552E" w:rsidTr="009A3756">
        <w:trPr>
          <w:cantSplit/>
        </w:trPr>
        <w:tc>
          <w:tcPr>
            <w:tcW w:w="9638" w:type="dxa"/>
            <w:gridSpan w:val="4"/>
            <w:tcBorders>
              <w:top w:val="single" w:sz="12" w:space="0" w:color="auto"/>
              <w:left w:val="nil"/>
              <w:bottom w:val="nil"/>
              <w:right w:val="nil"/>
            </w:tcBorders>
            <w:shd w:val="clear" w:color="auto" w:fill="auto"/>
          </w:tcPr>
          <w:p w:rsidR="009A3756" w:rsidRPr="00C5552E" w:rsidRDefault="009A3756" w:rsidP="00C5552E">
            <w:pPr>
              <w:pStyle w:val="Notes"/>
              <w:rPr>
                <w:rFonts w:eastAsiaTheme="minorEastAsia"/>
                <w:lang w:eastAsia="en-AU"/>
              </w:rPr>
            </w:pPr>
            <w:r w:rsidRPr="00C5552E">
              <w:rPr>
                <w:rFonts w:eastAsiaTheme="minorEastAsia"/>
                <w:lang w:eastAsia="en-AU"/>
              </w:rPr>
              <w:t>Note</w:t>
            </w:r>
            <w:r>
              <w:rPr>
                <w:rFonts w:eastAsiaTheme="minorEastAsia"/>
                <w:lang w:eastAsia="en-AU"/>
              </w:rPr>
              <w:t>s</w:t>
            </w:r>
            <w:r w:rsidRPr="00C5552E">
              <w:rPr>
                <w:rFonts w:eastAsiaTheme="minorEastAsia"/>
                <w:lang w:eastAsia="en-AU"/>
              </w:rPr>
              <w:t>:</w:t>
            </w:r>
          </w:p>
        </w:tc>
      </w:tr>
    </w:tbl>
    <w:p w:rsidR="00C5552E" w:rsidRDefault="00C5552E" w:rsidP="00C5552E">
      <w:pPr>
        <w:pStyle w:val="Notes"/>
      </w:pPr>
      <w:r>
        <w:t>(a)</w:t>
      </w:r>
      <w:r>
        <w:tab/>
        <w:t>Effective 1 January 2015 several departments were renamed due to machinery of government changes:</w:t>
      </w:r>
    </w:p>
    <w:p w:rsidR="00C5552E" w:rsidRDefault="00C5552E" w:rsidP="002421E4">
      <w:pPr>
        <w:pStyle w:val="NotesDash"/>
      </w:pPr>
      <w:r>
        <w:t>the Department of Education and Early Childhood Development was renamed the Department of Education and Training;</w:t>
      </w:r>
    </w:p>
    <w:p w:rsidR="00C5552E" w:rsidRDefault="00C5552E" w:rsidP="002421E4">
      <w:pPr>
        <w:pStyle w:val="NotesDash"/>
      </w:pPr>
      <w:r>
        <w:t>the Department of Environment and Primary Industries was renamed the Department of Environment, Land, Water and Planning;</w:t>
      </w:r>
    </w:p>
    <w:p w:rsidR="00C5552E" w:rsidRDefault="00C5552E" w:rsidP="002421E4">
      <w:pPr>
        <w:pStyle w:val="NotesDash"/>
      </w:pPr>
      <w:r>
        <w:t>the Department of Health was renamed the Department of Health and Human Services;</w:t>
      </w:r>
    </w:p>
    <w:p w:rsidR="00C5552E" w:rsidRDefault="00C5552E" w:rsidP="002421E4">
      <w:pPr>
        <w:pStyle w:val="NotesDash"/>
      </w:pPr>
      <w:r>
        <w:t xml:space="preserve">the Department of Justice was renamed the Department of Justice and Regulation; </w:t>
      </w:r>
    </w:p>
    <w:p w:rsidR="00C5552E" w:rsidRDefault="00C5552E" w:rsidP="002421E4">
      <w:pPr>
        <w:pStyle w:val="NotesDash"/>
      </w:pPr>
      <w:r>
        <w:t xml:space="preserve">the Department of State Development, Business and Innovation was renamed the Department of Economic Development, Jobs, Transport and Resources; </w:t>
      </w:r>
    </w:p>
    <w:p w:rsidR="00C5552E" w:rsidRDefault="00C5552E" w:rsidP="002421E4">
      <w:pPr>
        <w:pStyle w:val="NotesDash"/>
      </w:pPr>
      <w:r>
        <w:t xml:space="preserve">the Department of Human Services was abolished; and </w:t>
      </w:r>
    </w:p>
    <w:p w:rsidR="00C5552E" w:rsidRDefault="00C5552E" w:rsidP="002421E4">
      <w:pPr>
        <w:pStyle w:val="NotesDash"/>
      </w:pPr>
      <w:r>
        <w:t xml:space="preserve">the Department of Transport, Planning and Local Infrastructure was abolished. </w:t>
      </w:r>
    </w:p>
    <w:p w:rsidR="006C4A84" w:rsidRDefault="00C5552E" w:rsidP="00B566C6">
      <w:pPr>
        <w:pStyle w:val="Notes"/>
      </w:pPr>
      <w:r>
        <w:tab/>
        <w:t>The two abolished departments had their functions and operations transferred to other Victorian government departments. Functions and operations of the Department of Human Services were transferred to the Department of Health and Human Services and to the Department of Premier and Cabinet. Functions and operations of the Department of Transport, Planning and Local Infrastructure were transferred to the Department of Environment, Land, Water and Planning, the Department of Health and Humans Services and to the Department of Economic Development, Jobs, Transport and Resources. Certain functions and operations of continuing Victorian government departments were also transferred amongst departments as part of the machinery of government changes. Controlled entities which have been transferred as part of the machinery of government changes are listed under t</w:t>
      </w:r>
      <w:r w:rsidR="00B566C6">
        <w:t>heir new portfolio departments.</w:t>
      </w:r>
    </w:p>
    <w:p w:rsidR="00B566C6" w:rsidRDefault="00B566C6" w:rsidP="00B566C6">
      <w:pPr>
        <w:pStyle w:val="Notes"/>
      </w:pPr>
      <w:r>
        <w:t>(b)</w:t>
      </w:r>
      <w:r>
        <w:tab/>
      </w:r>
      <w:r w:rsidR="00A8550C">
        <w:rPr>
          <w:rFonts w:eastAsiaTheme="minorEastAsia"/>
          <w:i w:val="0"/>
          <w:lang w:eastAsia="en-AU"/>
        </w:rPr>
        <w:t xml:space="preserve">2015-16 Budget </w:t>
      </w:r>
      <w:r w:rsidR="00F050C5">
        <w:rPr>
          <w:rFonts w:eastAsiaTheme="minorEastAsia"/>
          <w:lang w:eastAsia="en-AU"/>
        </w:rPr>
        <w:t xml:space="preserve">figures have been </w:t>
      </w:r>
      <w:r w:rsidR="00F050C5" w:rsidRPr="00CA0111">
        <w:rPr>
          <w:rFonts w:eastAsiaTheme="minorEastAsia"/>
          <w:lang w:eastAsia="en-AU"/>
        </w:rPr>
        <w:t>rest</w:t>
      </w:r>
      <w:r w:rsidR="00F050C5">
        <w:rPr>
          <w:rFonts w:eastAsiaTheme="minorEastAsia"/>
          <w:lang w:eastAsia="en-AU"/>
        </w:rPr>
        <w:t>ated to reflect more current information.</w:t>
      </w:r>
    </w:p>
    <w:p w:rsidR="00E1277E" w:rsidRDefault="00E1277E" w:rsidP="00430D4B">
      <w:pPr>
        <w:spacing w:after="0"/>
      </w:pPr>
    </w:p>
    <w:p w:rsidR="00E1277E" w:rsidRDefault="00F1499B" w:rsidP="00430D4B">
      <w:pPr>
        <w:spacing w:after="0"/>
      </w:pPr>
      <w:r>
        <w:br w:type="page"/>
      </w:r>
    </w:p>
    <w:p w:rsidR="00430D4B" w:rsidRDefault="00E1277E" w:rsidP="00E1277E">
      <w:pPr>
        <w:pStyle w:val="Heading2NotesContd"/>
        <w:rPr>
          <w:rFonts w:ascii="Times New Roman" w:hAnsi="Times New Roman"/>
          <w:sz w:val="20"/>
          <w:lang w:eastAsia="en-AU"/>
        </w:rPr>
      </w:pPr>
      <w:r>
        <w:rPr>
          <w:rFonts w:eastAsiaTheme="minorEastAsia"/>
          <w:lang w:eastAsia="en-AU"/>
        </w:rPr>
        <w:lastRenderedPageBreak/>
        <w:t>Note 19:</w:t>
      </w:r>
      <w:r>
        <w:rPr>
          <w:rFonts w:eastAsiaTheme="minorEastAsia"/>
          <w:lang w:eastAsia="en-AU"/>
        </w:rPr>
        <w:tab/>
        <w:t xml:space="preserve">Public Account </w:t>
      </w:r>
      <w:r w:rsidRPr="00E1277E">
        <w:rPr>
          <w:rFonts w:eastAsiaTheme="minorEastAsia"/>
          <w:i/>
          <w:lang w:eastAsia="en-AU"/>
        </w:rPr>
        <w:t>(continued)</w:t>
      </w:r>
    </w:p>
    <w:p w:rsidR="009A3756" w:rsidRDefault="009A3756" w:rsidP="009A3756">
      <w:pPr>
        <w:pStyle w:val="Tableheading"/>
      </w:pPr>
      <w:r w:rsidRPr="009A3756">
        <w:t>(b)</w:t>
      </w:r>
      <w:r w:rsidRPr="009A3756">
        <w:tab/>
        <w:t>Tru</w:t>
      </w:r>
      <w:r>
        <w:t>st fund cash flow statement</w:t>
      </w:r>
    </w:p>
    <w:tbl>
      <w:tblPr>
        <w:tblW w:w="9639"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5"/>
      </w:tblGrid>
      <w:tr w:rsidR="009A3756" w:rsidRPr="00430D4B" w:rsidTr="00DB2687">
        <w:trPr>
          <w:cantSplit/>
          <w:tblHeader/>
        </w:trPr>
        <w:tc>
          <w:tcPr>
            <w:tcW w:w="9639" w:type="dxa"/>
            <w:gridSpan w:val="4"/>
            <w:tcBorders>
              <w:top w:val="nil"/>
              <w:left w:val="nil"/>
              <w:bottom w:val="nil"/>
              <w:right w:val="nil"/>
            </w:tcBorders>
          </w:tcPr>
          <w:p w:rsidR="009A3756" w:rsidRPr="00430D4B" w:rsidRDefault="009A3756" w:rsidP="00430D4B">
            <w:pPr>
              <w:pStyle w:val="million"/>
              <w:rPr>
                <w:rFonts w:eastAsiaTheme="minorEastAsia"/>
                <w:lang w:eastAsia="en-AU"/>
              </w:rPr>
            </w:pPr>
            <w:r w:rsidRPr="00430D4B">
              <w:rPr>
                <w:rFonts w:eastAsiaTheme="minorEastAsia"/>
                <w:lang w:eastAsia="en-AU"/>
              </w:rPr>
              <w:t>($ million)</w:t>
            </w:r>
          </w:p>
        </w:tc>
      </w:tr>
      <w:tr w:rsidR="009A3756" w:rsidRPr="00430D4B" w:rsidTr="009A3756">
        <w:trPr>
          <w:cantSplit/>
          <w:tblHeader/>
        </w:trPr>
        <w:tc>
          <w:tcPr>
            <w:tcW w:w="1134" w:type="dxa"/>
            <w:tcBorders>
              <w:top w:val="single" w:sz="6" w:space="0" w:color="auto"/>
              <w:left w:val="single" w:sz="6" w:space="0" w:color="auto"/>
              <w:bottom w:val="nil"/>
              <w:right w:val="nil"/>
            </w:tcBorders>
            <w:shd w:val="solid" w:color="000000" w:fill="auto"/>
          </w:tcPr>
          <w:p w:rsidR="009A3756" w:rsidRPr="00430D4B" w:rsidRDefault="009A3756" w:rsidP="00430D4B">
            <w:pPr>
              <w:autoSpaceDE w:val="0"/>
              <w:autoSpaceDN w:val="0"/>
              <w:adjustRightInd w:val="0"/>
              <w:spacing w:after="0"/>
              <w:jc w:val="right"/>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2014-15</w:t>
            </w:r>
          </w:p>
        </w:tc>
        <w:tc>
          <w:tcPr>
            <w:tcW w:w="6236" w:type="dxa"/>
            <w:tcBorders>
              <w:top w:val="single" w:sz="6" w:space="0" w:color="auto"/>
              <w:left w:val="nil"/>
              <w:bottom w:val="nil"/>
              <w:right w:val="nil"/>
            </w:tcBorders>
            <w:shd w:val="solid" w:color="000000" w:fill="auto"/>
          </w:tcPr>
          <w:p w:rsidR="009A3756" w:rsidRPr="00430D4B" w:rsidRDefault="009A3756" w:rsidP="00430D4B">
            <w:pPr>
              <w:autoSpaceDE w:val="0"/>
              <w:autoSpaceDN w:val="0"/>
              <w:adjustRightInd w:val="0"/>
              <w:spacing w:after="0"/>
              <w:jc w:val="center"/>
              <w:rPr>
                <w:rFonts w:ascii="Calibri" w:eastAsiaTheme="minorEastAsia" w:hAnsi="Calibri" w:cs="Calibri"/>
                <w:color w:val="FFFFFF"/>
                <w:sz w:val="22"/>
                <w:szCs w:val="22"/>
                <w:lang w:eastAsia="en-AU"/>
              </w:rPr>
            </w:pPr>
            <w:r w:rsidRPr="00430D4B">
              <w:rPr>
                <w:rFonts w:ascii="Calibri" w:eastAsiaTheme="minorEastAsia" w:hAnsi="Calibri" w:cs="Calibri"/>
                <w:color w:val="FFFFFF"/>
                <w:sz w:val="22"/>
                <w:szCs w:val="22"/>
                <w:lang w:eastAsia="en-AU"/>
              </w:rPr>
              <w:t xml:space="preserve"> </w:t>
            </w:r>
          </w:p>
        </w:tc>
        <w:tc>
          <w:tcPr>
            <w:tcW w:w="2269" w:type="dxa"/>
            <w:gridSpan w:val="2"/>
            <w:tcBorders>
              <w:top w:val="single" w:sz="6" w:space="0" w:color="auto"/>
              <w:left w:val="nil"/>
              <w:bottom w:val="nil"/>
              <w:right w:val="nil"/>
            </w:tcBorders>
            <w:shd w:val="solid" w:color="000000" w:fill="auto"/>
          </w:tcPr>
          <w:p w:rsidR="009A3756" w:rsidRPr="00430D4B" w:rsidRDefault="009A3756" w:rsidP="00430D4B">
            <w:pPr>
              <w:autoSpaceDE w:val="0"/>
              <w:autoSpaceDN w:val="0"/>
              <w:adjustRightInd w:val="0"/>
              <w:spacing w:after="0"/>
              <w:jc w:val="center"/>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2015-16</w:t>
            </w:r>
          </w:p>
        </w:tc>
      </w:tr>
      <w:tr w:rsidR="00DB2687" w:rsidRPr="00430D4B" w:rsidTr="00963E68">
        <w:trPr>
          <w:cantSplit/>
          <w:trHeight w:val="537"/>
          <w:tblHeader/>
        </w:trPr>
        <w:tc>
          <w:tcPr>
            <w:tcW w:w="1134" w:type="dxa"/>
            <w:tcBorders>
              <w:top w:val="nil"/>
              <w:left w:val="single" w:sz="6" w:space="0" w:color="auto"/>
              <w:right w:val="nil"/>
            </w:tcBorders>
            <w:shd w:val="solid" w:color="000000" w:fill="auto"/>
          </w:tcPr>
          <w:p w:rsidR="00DB2687" w:rsidRPr="00430D4B" w:rsidRDefault="00DB2687" w:rsidP="00430D4B">
            <w:pPr>
              <w:autoSpaceDE w:val="0"/>
              <w:autoSpaceDN w:val="0"/>
              <w:adjustRightInd w:val="0"/>
              <w:spacing w:after="0"/>
              <w:jc w:val="right"/>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 xml:space="preserve"> Actual </w:t>
            </w:r>
          </w:p>
          <w:p w:rsidR="00DB2687" w:rsidRPr="00430D4B" w:rsidRDefault="00DB2687" w:rsidP="00430D4B">
            <w:pPr>
              <w:autoSpaceDE w:val="0"/>
              <w:autoSpaceDN w:val="0"/>
              <w:adjustRightInd w:val="0"/>
              <w:spacing w:after="0"/>
              <w:jc w:val="right"/>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430D4B" w:rsidRDefault="00DB2687" w:rsidP="00430D4B">
            <w:pPr>
              <w:autoSpaceDE w:val="0"/>
              <w:autoSpaceDN w:val="0"/>
              <w:adjustRightInd w:val="0"/>
              <w:spacing w:after="0"/>
              <w:jc w:val="center"/>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 xml:space="preserve"> </w:t>
            </w:r>
          </w:p>
          <w:p w:rsidR="00DB2687" w:rsidRPr="00430D4B" w:rsidRDefault="00DB2687" w:rsidP="00430D4B">
            <w:pPr>
              <w:autoSpaceDE w:val="0"/>
              <w:autoSpaceDN w:val="0"/>
              <w:adjustRightInd w:val="0"/>
              <w:spacing w:after="0"/>
              <w:jc w:val="center"/>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tcPr>
          <w:p w:rsidR="00DB2687" w:rsidRPr="00430D4B" w:rsidRDefault="00DB2687" w:rsidP="00430D4B">
            <w:pPr>
              <w:autoSpaceDE w:val="0"/>
              <w:autoSpaceDN w:val="0"/>
              <w:adjustRightInd w:val="0"/>
              <w:spacing w:after="0"/>
              <w:jc w:val="right"/>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 xml:space="preserve"> Actual </w:t>
            </w:r>
          </w:p>
          <w:p w:rsidR="00DB2687" w:rsidRPr="00430D4B" w:rsidRDefault="00DB2687" w:rsidP="00430D4B">
            <w:pPr>
              <w:autoSpaceDE w:val="0"/>
              <w:autoSpaceDN w:val="0"/>
              <w:adjustRightInd w:val="0"/>
              <w:spacing w:after="0"/>
              <w:jc w:val="right"/>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to Sep</w:t>
            </w:r>
          </w:p>
        </w:tc>
        <w:tc>
          <w:tcPr>
            <w:tcW w:w="1135" w:type="dxa"/>
            <w:tcBorders>
              <w:top w:val="nil"/>
              <w:left w:val="nil"/>
              <w:right w:val="single" w:sz="6" w:space="0" w:color="auto"/>
            </w:tcBorders>
            <w:shd w:val="solid" w:color="000000" w:fill="auto"/>
          </w:tcPr>
          <w:p w:rsidR="00DB2687" w:rsidRPr="00430D4B" w:rsidRDefault="00DB2687" w:rsidP="00430D4B">
            <w:pPr>
              <w:autoSpaceDE w:val="0"/>
              <w:autoSpaceDN w:val="0"/>
              <w:adjustRightInd w:val="0"/>
              <w:spacing w:after="0"/>
              <w:jc w:val="right"/>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Annual</w:t>
            </w:r>
          </w:p>
          <w:p w:rsidR="00DB2687" w:rsidRPr="00430D4B" w:rsidRDefault="00DB2687" w:rsidP="00430D4B">
            <w:pPr>
              <w:autoSpaceDE w:val="0"/>
              <w:autoSpaceDN w:val="0"/>
              <w:adjustRightInd w:val="0"/>
              <w:spacing w:after="0"/>
              <w:jc w:val="right"/>
              <w:rPr>
                <w:rFonts w:ascii="Calibri" w:eastAsiaTheme="minorEastAsia" w:hAnsi="Calibri" w:cs="Calibri"/>
                <w:i/>
                <w:iCs/>
                <w:color w:val="FFFFFF"/>
                <w:sz w:val="22"/>
                <w:szCs w:val="22"/>
                <w:lang w:eastAsia="en-AU"/>
              </w:rPr>
            </w:pPr>
            <w:r w:rsidRPr="00430D4B">
              <w:rPr>
                <w:rFonts w:ascii="Calibri" w:eastAsiaTheme="minorEastAsia" w:hAnsi="Calibri" w:cs="Calibri"/>
                <w:i/>
                <w:iCs/>
                <w:color w:val="FFFFFF"/>
                <w:sz w:val="22"/>
                <w:szCs w:val="22"/>
                <w:lang w:eastAsia="en-AU"/>
              </w:rPr>
              <w:t>budget</w:t>
            </w:r>
          </w:p>
        </w:tc>
      </w:tr>
      <w:tr w:rsidR="009A3756" w:rsidRPr="00430D4B" w:rsidTr="00DB2687">
        <w:trPr>
          <w:cantSplit/>
        </w:trPr>
        <w:tc>
          <w:tcPr>
            <w:tcW w:w="1134"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6236"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Cash flows from operating activities</w:t>
            </w:r>
          </w:p>
        </w:tc>
        <w:tc>
          <w:tcPr>
            <w:tcW w:w="1134"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lang w:eastAsia="en-AU"/>
              </w:rPr>
            </w:pPr>
            <w:r w:rsidRPr="00430D4B">
              <w:rPr>
                <w:rFonts w:ascii="Calibri" w:eastAsiaTheme="minorEastAsia" w:hAnsi="Calibri" w:cs="Calibri"/>
                <w:color w:val="000000"/>
                <w:sz w:val="22"/>
                <w:lang w:eastAsia="en-AU"/>
              </w:rPr>
              <w:t xml:space="preserve"> </w:t>
            </w:r>
          </w:p>
        </w:tc>
        <w:tc>
          <w:tcPr>
            <w:tcW w:w="1135"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lang w:eastAsia="en-AU"/>
              </w:rPr>
            </w:pPr>
            <w:r w:rsidRPr="00430D4B">
              <w:rPr>
                <w:rFonts w:ascii="Calibri" w:eastAsiaTheme="minorEastAsia" w:hAnsi="Calibri" w:cs="Calibri"/>
                <w:color w:val="000000"/>
                <w:sz w:val="22"/>
                <w:lang w:eastAsia="en-AU"/>
              </w:rPr>
              <w:t xml:space="preserve"> </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Receipts</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156</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Taxation</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157</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325</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12</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Regulatory fees and fines</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8</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30</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4 109</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Grants received</w:t>
            </w:r>
            <w:r w:rsidRPr="00E663F7">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4 315</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15 643</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122</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Sale of goods and services</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22</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165</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25</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Interest received</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29</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106</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3 104</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Net transfers from consolidated fund</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2 452</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7 672</w:t>
            </w:r>
          </w:p>
        </w:tc>
      </w:tr>
      <w:tr w:rsidR="009A3756" w:rsidRPr="00430D4B" w:rsidTr="00DB2687">
        <w:trPr>
          <w:cantSplit/>
        </w:trPr>
        <w:tc>
          <w:tcPr>
            <w:tcW w:w="1134"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18</w:t>
            </w:r>
          </w:p>
        </w:tc>
        <w:tc>
          <w:tcPr>
            <w:tcW w:w="6236"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Other receipts</w:t>
            </w:r>
          </w:p>
        </w:tc>
        <w:tc>
          <w:tcPr>
            <w:tcW w:w="1134"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23</w:t>
            </w:r>
          </w:p>
        </w:tc>
        <w:tc>
          <w:tcPr>
            <w:tcW w:w="1135"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141</w:t>
            </w:r>
          </w:p>
        </w:tc>
      </w:tr>
      <w:tr w:rsidR="009A3756" w:rsidRPr="00430D4B" w:rsidTr="00DB2687">
        <w:trPr>
          <w:cantSplit/>
        </w:trPr>
        <w:tc>
          <w:tcPr>
            <w:tcW w:w="1134"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7 545</w:t>
            </w:r>
          </w:p>
        </w:tc>
        <w:tc>
          <w:tcPr>
            <w:tcW w:w="6236"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Total receipts</w:t>
            </w:r>
          </w:p>
        </w:tc>
        <w:tc>
          <w:tcPr>
            <w:tcW w:w="1134"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7 005</w:t>
            </w:r>
          </w:p>
        </w:tc>
        <w:tc>
          <w:tcPr>
            <w:tcW w:w="1135"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24 082</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Payments</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(35)</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Employee benefits</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(36)</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(192)</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Superannuation</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(14)</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(6 828)</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Grants paid</w:t>
            </w:r>
            <w:r w:rsidRPr="00E663F7">
              <w:rPr>
                <w:rFonts w:ascii="Calibri" w:eastAsiaTheme="minorEastAsia" w:hAnsi="Calibri" w:cs="Calibri"/>
                <w:color w:val="000000"/>
                <w:sz w:val="22"/>
                <w:szCs w:val="22"/>
                <w:vertAlign w:val="superscript"/>
                <w:lang w:eastAsia="en-AU"/>
              </w:rPr>
              <w:t>(a)</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(6 384)</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(21 194)</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(576)</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vertAlign w:val="superscript"/>
                <w:lang w:eastAsia="en-AU"/>
              </w:rPr>
            </w:pPr>
            <w:r w:rsidRPr="00430D4B">
              <w:rPr>
                <w:rFonts w:ascii="Calibri" w:eastAsiaTheme="minorEastAsia" w:hAnsi="Calibri" w:cs="Calibri"/>
                <w:color w:val="000000"/>
                <w:sz w:val="22"/>
                <w:szCs w:val="22"/>
                <w:lang w:eastAsia="en-AU"/>
              </w:rPr>
              <w:t>Supplies and consumables</w:t>
            </w:r>
            <w:r w:rsidRPr="00430D4B">
              <w:rPr>
                <w:rFonts w:ascii="Calibri" w:eastAsiaTheme="minorEastAsia" w:hAnsi="Calibri" w:cs="Calibri"/>
                <w:color w:val="000000"/>
                <w:sz w:val="22"/>
                <w:szCs w:val="22"/>
                <w:vertAlign w:val="superscript"/>
                <w:lang w:eastAsia="en-AU"/>
              </w:rPr>
              <w:t xml:space="preserve"> </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(583)</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(2 265)</w:t>
            </w:r>
          </w:p>
        </w:tc>
      </w:tr>
      <w:tr w:rsidR="009A3756" w:rsidRPr="00430D4B" w:rsidTr="00DB2687">
        <w:trPr>
          <w:cantSplit/>
        </w:trPr>
        <w:tc>
          <w:tcPr>
            <w:tcW w:w="1134"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w:t>
            </w:r>
          </w:p>
        </w:tc>
        <w:tc>
          <w:tcPr>
            <w:tcW w:w="6236"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Interest paid</w:t>
            </w:r>
          </w:p>
        </w:tc>
        <w:tc>
          <w:tcPr>
            <w:tcW w:w="1134"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w:t>
            </w:r>
          </w:p>
        </w:tc>
        <w:tc>
          <w:tcPr>
            <w:tcW w:w="1135"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w:t>
            </w:r>
          </w:p>
        </w:tc>
      </w:tr>
      <w:tr w:rsidR="009A3756" w:rsidRPr="00430D4B" w:rsidTr="00DB2687">
        <w:trPr>
          <w:cantSplit/>
        </w:trPr>
        <w:tc>
          <w:tcPr>
            <w:tcW w:w="1134" w:type="dxa"/>
            <w:tcBorders>
              <w:top w:val="single" w:sz="6" w:space="0" w:color="auto"/>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(7 444)</w:t>
            </w:r>
          </w:p>
        </w:tc>
        <w:tc>
          <w:tcPr>
            <w:tcW w:w="6236" w:type="dxa"/>
            <w:tcBorders>
              <w:top w:val="single" w:sz="6" w:space="0" w:color="auto"/>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Total payments</w:t>
            </w:r>
          </w:p>
        </w:tc>
        <w:tc>
          <w:tcPr>
            <w:tcW w:w="1134" w:type="dxa"/>
            <w:tcBorders>
              <w:top w:val="single" w:sz="6" w:space="0" w:color="auto"/>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(7 007)</w:t>
            </w:r>
          </w:p>
        </w:tc>
        <w:tc>
          <w:tcPr>
            <w:tcW w:w="1135" w:type="dxa"/>
            <w:tcBorders>
              <w:top w:val="single" w:sz="6" w:space="0" w:color="auto"/>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(23 673)</w:t>
            </w:r>
          </w:p>
        </w:tc>
      </w:tr>
      <w:tr w:rsidR="009A3756" w:rsidRPr="00430D4B" w:rsidTr="00DB2687">
        <w:trPr>
          <w:cantSplit/>
        </w:trPr>
        <w:tc>
          <w:tcPr>
            <w:tcW w:w="1134"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 xml:space="preserve"> 102</w:t>
            </w:r>
          </w:p>
        </w:tc>
        <w:tc>
          <w:tcPr>
            <w:tcW w:w="6236"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Net cash flows from operating activities</w:t>
            </w:r>
          </w:p>
        </w:tc>
        <w:tc>
          <w:tcPr>
            <w:tcW w:w="1134"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(2)</w:t>
            </w:r>
          </w:p>
        </w:tc>
        <w:tc>
          <w:tcPr>
            <w:tcW w:w="1135"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 xml:space="preserve"> 409</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Cash flows from investing activities</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11</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Proceeds from sale of property, plant and equipment</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9</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36</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(9)</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Purchases of property, plant and equipment</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4</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(35)</w:t>
            </w:r>
          </w:p>
        </w:tc>
      </w:tr>
      <w:tr w:rsidR="009A3756" w:rsidRPr="00430D4B" w:rsidTr="00DB2687">
        <w:trPr>
          <w:cantSplit/>
        </w:trPr>
        <w:tc>
          <w:tcPr>
            <w:tcW w:w="1134"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(38)</w:t>
            </w:r>
          </w:p>
        </w:tc>
        <w:tc>
          <w:tcPr>
            <w:tcW w:w="6236"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Other investing activities</w:t>
            </w:r>
          </w:p>
        </w:tc>
        <w:tc>
          <w:tcPr>
            <w:tcW w:w="1134"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(28)</w:t>
            </w:r>
          </w:p>
        </w:tc>
        <w:tc>
          <w:tcPr>
            <w:tcW w:w="1135"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(83)</w:t>
            </w:r>
          </w:p>
        </w:tc>
      </w:tr>
      <w:tr w:rsidR="009A3756" w:rsidRPr="00430D4B" w:rsidTr="00DB2687">
        <w:trPr>
          <w:cantSplit/>
        </w:trPr>
        <w:tc>
          <w:tcPr>
            <w:tcW w:w="1134"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(36)</w:t>
            </w:r>
          </w:p>
        </w:tc>
        <w:tc>
          <w:tcPr>
            <w:tcW w:w="6236"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Net cash flows from investing activities</w:t>
            </w:r>
          </w:p>
        </w:tc>
        <w:tc>
          <w:tcPr>
            <w:tcW w:w="1134"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(15)</w:t>
            </w:r>
          </w:p>
        </w:tc>
        <w:tc>
          <w:tcPr>
            <w:tcW w:w="1135" w:type="dxa"/>
            <w:tcBorders>
              <w:top w:val="single" w:sz="6" w:space="0" w:color="auto"/>
              <w:left w:val="nil"/>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(81)</w:t>
            </w:r>
          </w:p>
        </w:tc>
      </w:tr>
      <w:tr w:rsidR="009A3756" w:rsidRPr="00430D4B" w:rsidTr="00DB2687">
        <w:trPr>
          <w:cantSplit/>
        </w:trPr>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Cash flows from financing activities</w:t>
            </w:r>
          </w:p>
        </w:tc>
        <w:tc>
          <w:tcPr>
            <w:tcW w:w="1134"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c>
          <w:tcPr>
            <w:tcW w:w="1135" w:type="dxa"/>
            <w:tcBorders>
              <w:top w:val="nil"/>
              <w:left w:val="nil"/>
              <w:right w:val="nil"/>
            </w:tcBorders>
            <w:shd w:val="clear" w:color="auto" w:fill="FFFFFF"/>
          </w:tcPr>
          <w:p w:rsidR="009A3756" w:rsidRPr="00430D4B" w:rsidRDefault="009A3756" w:rsidP="00430D4B">
            <w:pPr>
              <w:autoSpaceDE w:val="0"/>
              <w:autoSpaceDN w:val="0"/>
              <w:adjustRightInd w:val="0"/>
              <w:spacing w:after="0"/>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w:t>
            </w:r>
          </w:p>
        </w:tc>
      </w:tr>
      <w:tr w:rsidR="009A3756" w:rsidRPr="00430D4B" w:rsidTr="00DB2687">
        <w:trPr>
          <w:cantSplit/>
        </w:trPr>
        <w:tc>
          <w:tcPr>
            <w:tcW w:w="1134"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 xml:space="preserve"> 8</w:t>
            </w:r>
          </w:p>
        </w:tc>
        <w:tc>
          <w:tcPr>
            <w:tcW w:w="6236"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color w:val="000000"/>
                <w:sz w:val="22"/>
                <w:szCs w:val="22"/>
                <w:lang w:eastAsia="en-AU"/>
              </w:rPr>
            </w:pPr>
            <w:r w:rsidRPr="00430D4B">
              <w:rPr>
                <w:rFonts w:ascii="Calibri" w:eastAsiaTheme="minorEastAsia" w:hAnsi="Calibri" w:cs="Calibri"/>
                <w:color w:val="000000"/>
                <w:sz w:val="22"/>
                <w:szCs w:val="22"/>
                <w:lang w:eastAsia="en-AU"/>
              </w:rPr>
              <w:t>Net proceeds (repayments) from borrowings</w:t>
            </w:r>
          </w:p>
        </w:tc>
        <w:tc>
          <w:tcPr>
            <w:tcW w:w="1134"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(457)</w:t>
            </w:r>
          </w:p>
        </w:tc>
        <w:tc>
          <w:tcPr>
            <w:tcW w:w="1135" w:type="dxa"/>
            <w:tcBorders>
              <w:top w:val="nil"/>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(29)</w:t>
            </w:r>
          </w:p>
        </w:tc>
      </w:tr>
      <w:tr w:rsidR="009A3756" w:rsidRPr="00430D4B" w:rsidTr="00DB2687">
        <w:trPr>
          <w:cantSplit/>
        </w:trPr>
        <w:tc>
          <w:tcPr>
            <w:tcW w:w="1134" w:type="dxa"/>
            <w:tcBorders>
              <w:top w:val="single" w:sz="6" w:space="0" w:color="auto"/>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 xml:space="preserve"> 8</w:t>
            </w:r>
          </w:p>
        </w:tc>
        <w:tc>
          <w:tcPr>
            <w:tcW w:w="6236" w:type="dxa"/>
            <w:tcBorders>
              <w:top w:val="single" w:sz="6" w:space="0" w:color="auto"/>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 xml:space="preserve">Net cash flows from financing activities </w:t>
            </w:r>
          </w:p>
        </w:tc>
        <w:tc>
          <w:tcPr>
            <w:tcW w:w="1134" w:type="dxa"/>
            <w:tcBorders>
              <w:top w:val="single" w:sz="6" w:space="0" w:color="auto"/>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(457)</w:t>
            </w:r>
          </w:p>
        </w:tc>
        <w:tc>
          <w:tcPr>
            <w:tcW w:w="1135" w:type="dxa"/>
            <w:tcBorders>
              <w:top w:val="single" w:sz="6" w:space="0" w:color="auto"/>
              <w:left w:val="nil"/>
              <w:bottom w:val="single" w:sz="6"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(29)</w:t>
            </w:r>
          </w:p>
        </w:tc>
      </w:tr>
      <w:tr w:rsidR="009A3756" w:rsidRPr="00430D4B" w:rsidTr="00DB2687">
        <w:trPr>
          <w:cantSplit/>
        </w:trPr>
        <w:tc>
          <w:tcPr>
            <w:tcW w:w="1134" w:type="dxa"/>
            <w:tcBorders>
              <w:top w:val="single" w:sz="6" w:space="0" w:color="auto"/>
              <w:left w:val="nil"/>
              <w:bottom w:val="single" w:sz="12"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 xml:space="preserve"> 75</w:t>
            </w:r>
          </w:p>
        </w:tc>
        <w:tc>
          <w:tcPr>
            <w:tcW w:w="6236" w:type="dxa"/>
            <w:tcBorders>
              <w:top w:val="single" w:sz="6" w:space="0" w:color="auto"/>
              <w:left w:val="nil"/>
              <w:bottom w:val="single" w:sz="12" w:space="0" w:color="auto"/>
              <w:right w:val="nil"/>
            </w:tcBorders>
            <w:shd w:val="clear" w:color="auto" w:fill="FFFFFF"/>
          </w:tcPr>
          <w:p w:rsidR="009A3756" w:rsidRPr="00430D4B" w:rsidRDefault="009A3756" w:rsidP="00430D4B">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Net cash inflow/(outflow)</w:t>
            </w:r>
          </w:p>
        </w:tc>
        <w:tc>
          <w:tcPr>
            <w:tcW w:w="1134" w:type="dxa"/>
            <w:tcBorders>
              <w:top w:val="single" w:sz="6" w:space="0" w:color="auto"/>
              <w:left w:val="nil"/>
              <w:bottom w:val="single" w:sz="12"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(474)</w:t>
            </w:r>
          </w:p>
        </w:tc>
        <w:tc>
          <w:tcPr>
            <w:tcW w:w="1135" w:type="dxa"/>
            <w:tcBorders>
              <w:top w:val="single" w:sz="6" w:space="0" w:color="auto"/>
              <w:left w:val="nil"/>
              <w:bottom w:val="single" w:sz="12" w:space="0" w:color="auto"/>
              <w:right w:val="nil"/>
            </w:tcBorders>
            <w:shd w:val="clear" w:color="auto" w:fill="FFFFFF"/>
          </w:tcPr>
          <w:p w:rsidR="009A3756" w:rsidRPr="00430D4B" w:rsidRDefault="009A3756" w:rsidP="00430D4B">
            <w:pPr>
              <w:autoSpaceDE w:val="0"/>
              <w:autoSpaceDN w:val="0"/>
              <w:adjustRightInd w:val="0"/>
              <w:spacing w:after="0"/>
              <w:jc w:val="right"/>
              <w:rPr>
                <w:rFonts w:ascii="Calibri" w:eastAsiaTheme="minorEastAsia" w:hAnsi="Calibri" w:cs="Calibri"/>
                <w:b/>
                <w:bCs/>
                <w:color w:val="000000"/>
                <w:sz w:val="22"/>
                <w:szCs w:val="22"/>
                <w:lang w:eastAsia="en-AU"/>
              </w:rPr>
            </w:pPr>
            <w:r w:rsidRPr="00430D4B">
              <w:rPr>
                <w:rFonts w:ascii="Calibri" w:eastAsiaTheme="minorEastAsia" w:hAnsi="Calibri" w:cs="Calibri"/>
                <w:b/>
                <w:bCs/>
                <w:color w:val="000000"/>
                <w:sz w:val="22"/>
                <w:szCs w:val="22"/>
                <w:lang w:eastAsia="en-AU"/>
              </w:rPr>
              <w:t xml:space="preserve"> 299</w:t>
            </w:r>
          </w:p>
        </w:tc>
      </w:tr>
      <w:tr w:rsidR="009A3756" w:rsidRPr="00430D4B" w:rsidTr="00DB2687">
        <w:trPr>
          <w:cantSplit/>
        </w:trPr>
        <w:tc>
          <w:tcPr>
            <w:tcW w:w="9639" w:type="dxa"/>
            <w:gridSpan w:val="4"/>
            <w:tcBorders>
              <w:top w:val="single" w:sz="12" w:space="0" w:color="auto"/>
              <w:left w:val="nil"/>
              <w:bottom w:val="nil"/>
              <w:right w:val="nil"/>
            </w:tcBorders>
            <w:shd w:val="clear" w:color="auto" w:fill="auto"/>
          </w:tcPr>
          <w:p w:rsidR="009A3756" w:rsidRPr="00430D4B" w:rsidRDefault="009A3756" w:rsidP="00430D4B">
            <w:pPr>
              <w:pStyle w:val="Notes"/>
              <w:rPr>
                <w:rFonts w:eastAsiaTheme="minorEastAsia"/>
                <w:lang w:eastAsia="en-AU"/>
              </w:rPr>
            </w:pPr>
            <w:r w:rsidRPr="00430D4B">
              <w:rPr>
                <w:rFonts w:eastAsiaTheme="minorEastAsia"/>
                <w:lang w:eastAsia="en-AU"/>
              </w:rPr>
              <w:t>Note:</w:t>
            </w:r>
          </w:p>
        </w:tc>
      </w:tr>
    </w:tbl>
    <w:p w:rsidR="00F21AC8" w:rsidRDefault="00F21AC8" w:rsidP="00F21AC8">
      <w:pPr>
        <w:pStyle w:val="Notes"/>
      </w:pPr>
      <w:r>
        <w:t>(a)</w:t>
      </w:r>
      <w:r>
        <w:tab/>
      </w:r>
      <w:r w:rsidR="00F050C5" w:rsidRPr="00CA0111">
        <w:rPr>
          <w:rFonts w:eastAsiaTheme="minorEastAsia"/>
          <w:i w:val="0"/>
          <w:lang w:eastAsia="en-AU"/>
        </w:rPr>
        <w:t xml:space="preserve">2015-16 Budget </w:t>
      </w:r>
      <w:r w:rsidR="00F050C5">
        <w:rPr>
          <w:rFonts w:eastAsiaTheme="minorEastAsia"/>
          <w:lang w:eastAsia="en-AU"/>
        </w:rPr>
        <w:t xml:space="preserve">figures have been </w:t>
      </w:r>
      <w:r w:rsidR="00F050C5" w:rsidRPr="00CA0111">
        <w:rPr>
          <w:rFonts w:eastAsiaTheme="minorEastAsia"/>
          <w:lang w:eastAsia="en-AU"/>
        </w:rPr>
        <w:t>rest</w:t>
      </w:r>
      <w:r w:rsidR="00F050C5">
        <w:rPr>
          <w:rFonts w:eastAsiaTheme="minorEastAsia"/>
          <w:lang w:eastAsia="en-AU"/>
        </w:rPr>
        <w:t>ated to reflect more current information.</w:t>
      </w:r>
    </w:p>
    <w:p w:rsidR="00430D4B" w:rsidRDefault="00430D4B" w:rsidP="00430D4B">
      <w:pPr>
        <w:spacing w:after="0"/>
      </w:pPr>
    </w:p>
    <w:p w:rsidR="00E1277E" w:rsidRDefault="00E1277E">
      <w:pPr>
        <w:spacing w:after="0"/>
        <w:rPr>
          <w:rFonts w:ascii="Calibri" w:eastAsiaTheme="minorEastAsia" w:hAnsi="Calibri"/>
          <w:b/>
          <w:kern w:val="28"/>
          <w:sz w:val="28"/>
          <w:szCs w:val="22"/>
          <w:lang w:eastAsia="en-AU"/>
        </w:rPr>
      </w:pPr>
      <w:r>
        <w:rPr>
          <w:rFonts w:eastAsiaTheme="minorEastAsia"/>
          <w:lang w:eastAsia="en-AU"/>
        </w:rPr>
        <w:br w:type="page"/>
      </w:r>
    </w:p>
    <w:p w:rsidR="00187396" w:rsidRDefault="00E1277E" w:rsidP="00E1277E">
      <w:pPr>
        <w:pStyle w:val="Heading2NotesContd"/>
        <w:rPr>
          <w:rFonts w:ascii="Times New Roman" w:hAnsi="Times New Roman"/>
          <w:sz w:val="20"/>
          <w:lang w:eastAsia="en-AU"/>
        </w:rPr>
      </w:pPr>
      <w:r>
        <w:rPr>
          <w:rFonts w:eastAsiaTheme="minorEastAsia"/>
          <w:lang w:eastAsia="en-AU"/>
        </w:rPr>
        <w:lastRenderedPageBreak/>
        <w:t>Note 19:</w:t>
      </w:r>
      <w:r>
        <w:rPr>
          <w:rFonts w:eastAsiaTheme="minorEastAsia"/>
          <w:lang w:eastAsia="en-AU"/>
        </w:rPr>
        <w:tab/>
        <w:t xml:space="preserve">Public Account </w:t>
      </w:r>
      <w:r w:rsidRPr="00E1277E">
        <w:rPr>
          <w:rFonts w:eastAsiaTheme="minorEastAsia"/>
          <w:i/>
          <w:lang w:eastAsia="en-AU"/>
        </w:rPr>
        <w:t>(continued)</w:t>
      </w:r>
    </w:p>
    <w:p w:rsidR="009A3756" w:rsidRDefault="009A3756" w:rsidP="009A3756">
      <w:pPr>
        <w:pStyle w:val="Tableheading"/>
      </w:pPr>
      <w:r w:rsidRPr="009A3756">
        <w:t>(c)</w:t>
      </w:r>
      <w:r w:rsidRPr="009A3756">
        <w:tab/>
        <w:t xml:space="preserve">Reconciliation of </w:t>
      </w:r>
      <w:r>
        <w:t>cash flows to balances held</w:t>
      </w:r>
    </w:p>
    <w:tbl>
      <w:tblPr>
        <w:tblW w:w="9638" w:type="dxa"/>
        <w:tblInd w:w="28" w:type="dxa"/>
        <w:tblLayout w:type="fixed"/>
        <w:tblCellMar>
          <w:left w:w="28" w:type="dxa"/>
          <w:right w:w="28" w:type="dxa"/>
        </w:tblCellMar>
        <w:tblLook w:val="0000" w:firstRow="0" w:lastRow="0" w:firstColumn="0" w:lastColumn="0" w:noHBand="0" w:noVBand="0"/>
      </w:tblPr>
      <w:tblGrid>
        <w:gridCol w:w="5954"/>
        <w:gridCol w:w="1228"/>
        <w:gridCol w:w="1228"/>
        <w:gridCol w:w="1228"/>
      </w:tblGrid>
      <w:tr w:rsidR="009A3756" w:rsidRPr="00187396" w:rsidTr="009A3756">
        <w:trPr>
          <w:cantSplit/>
          <w:tblHeader/>
        </w:trPr>
        <w:tc>
          <w:tcPr>
            <w:tcW w:w="9638" w:type="dxa"/>
            <w:gridSpan w:val="4"/>
            <w:tcBorders>
              <w:top w:val="nil"/>
              <w:left w:val="nil"/>
              <w:bottom w:val="single" w:sz="6" w:space="0" w:color="auto"/>
              <w:right w:val="nil"/>
            </w:tcBorders>
          </w:tcPr>
          <w:p w:rsidR="009A3756" w:rsidRPr="00187396" w:rsidRDefault="009A3756" w:rsidP="00187396">
            <w:pPr>
              <w:pStyle w:val="million"/>
              <w:rPr>
                <w:rFonts w:eastAsiaTheme="minorEastAsia"/>
                <w:lang w:eastAsia="en-AU"/>
              </w:rPr>
            </w:pPr>
            <w:r w:rsidRPr="00187396">
              <w:rPr>
                <w:rFonts w:eastAsiaTheme="minorEastAsia"/>
                <w:lang w:eastAsia="en-AU"/>
              </w:rPr>
              <w:t>($ million)</w:t>
            </w:r>
          </w:p>
        </w:tc>
      </w:tr>
      <w:tr w:rsidR="00DB2687" w:rsidRPr="00187396" w:rsidTr="001F67BE">
        <w:trPr>
          <w:cantSplit/>
          <w:trHeight w:val="821"/>
          <w:tblHeader/>
        </w:trPr>
        <w:tc>
          <w:tcPr>
            <w:tcW w:w="5954" w:type="dxa"/>
            <w:tcBorders>
              <w:top w:val="single" w:sz="6" w:space="0" w:color="auto"/>
              <w:left w:val="single" w:sz="6" w:space="0" w:color="auto"/>
              <w:right w:val="nil"/>
            </w:tcBorders>
            <w:shd w:val="solid" w:color="000000" w:fill="auto"/>
          </w:tcPr>
          <w:p w:rsidR="00DB2687" w:rsidRPr="00187396" w:rsidRDefault="00DB2687" w:rsidP="00187396">
            <w:pPr>
              <w:autoSpaceDE w:val="0"/>
              <w:autoSpaceDN w:val="0"/>
              <w:adjustRightInd w:val="0"/>
              <w:spacing w:after="0"/>
              <w:rPr>
                <w:rFonts w:ascii="Calibri" w:eastAsiaTheme="minorEastAsia" w:hAnsi="Calibri" w:cs="Calibri"/>
                <w:color w:val="FFFFFF"/>
                <w:sz w:val="22"/>
                <w:szCs w:val="22"/>
                <w:lang w:eastAsia="en-AU"/>
              </w:rPr>
            </w:pPr>
            <w:r w:rsidRPr="00187396">
              <w:rPr>
                <w:rFonts w:ascii="Calibri" w:eastAsiaTheme="minorEastAsia" w:hAnsi="Calibri" w:cs="Calibri"/>
                <w:color w:val="FFFFFF"/>
                <w:sz w:val="22"/>
                <w:szCs w:val="22"/>
                <w:lang w:eastAsia="en-AU"/>
              </w:rPr>
              <w:t xml:space="preserve"> </w:t>
            </w:r>
          </w:p>
        </w:tc>
        <w:tc>
          <w:tcPr>
            <w:tcW w:w="1228" w:type="dxa"/>
            <w:tcBorders>
              <w:top w:val="single" w:sz="6" w:space="0" w:color="auto"/>
              <w:left w:val="nil"/>
              <w:right w:val="nil"/>
            </w:tcBorders>
            <w:shd w:val="solid" w:color="000000" w:fill="auto"/>
          </w:tcPr>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 xml:space="preserve">Balances </w:t>
            </w:r>
          </w:p>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held at</w:t>
            </w:r>
          </w:p>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30 Jun 2015</w:t>
            </w:r>
          </w:p>
        </w:tc>
        <w:tc>
          <w:tcPr>
            <w:tcW w:w="1228" w:type="dxa"/>
            <w:tcBorders>
              <w:top w:val="single" w:sz="6" w:space="0" w:color="auto"/>
              <w:left w:val="nil"/>
              <w:right w:val="nil"/>
            </w:tcBorders>
            <w:shd w:val="solid" w:color="000000" w:fill="auto"/>
          </w:tcPr>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Sep</w:t>
            </w:r>
          </w:p>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movement</w:t>
            </w:r>
          </w:p>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YTD</w:t>
            </w:r>
          </w:p>
        </w:tc>
        <w:tc>
          <w:tcPr>
            <w:tcW w:w="1228" w:type="dxa"/>
            <w:tcBorders>
              <w:top w:val="single" w:sz="6" w:space="0" w:color="auto"/>
              <w:left w:val="nil"/>
              <w:right w:val="single" w:sz="6" w:space="0" w:color="auto"/>
            </w:tcBorders>
            <w:shd w:val="solid" w:color="000000" w:fill="auto"/>
          </w:tcPr>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 xml:space="preserve">Balances </w:t>
            </w:r>
          </w:p>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held at</w:t>
            </w:r>
          </w:p>
          <w:p w:rsidR="00DB2687" w:rsidRPr="00187396" w:rsidRDefault="00DB2687" w:rsidP="00187396">
            <w:pPr>
              <w:autoSpaceDE w:val="0"/>
              <w:autoSpaceDN w:val="0"/>
              <w:adjustRightInd w:val="0"/>
              <w:spacing w:after="0"/>
              <w:jc w:val="right"/>
              <w:rPr>
                <w:rFonts w:ascii="Calibri" w:eastAsiaTheme="minorEastAsia" w:hAnsi="Calibri" w:cs="Calibri"/>
                <w:i/>
                <w:iCs/>
                <w:color w:val="FFFFFF"/>
                <w:sz w:val="22"/>
                <w:szCs w:val="22"/>
                <w:lang w:eastAsia="en-AU"/>
              </w:rPr>
            </w:pPr>
            <w:r w:rsidRPr="00187396">
              <w:rPr>
                <w:rFonts w:ascii="Calibri" w:eastAsiaTheme="minorEastAsia" w:hAnsi="Calibri" w:cs="Calibri"/>
                <w:i/>
                <w:iCs/>
                <w:color w:val="FFFFFF"/>
                <w:sz w:val="22"/>
                <w:szCs w:val="22"/>
                <w:lang w:eastAsia="en-AU"/>
              </w:rPr>
              <w:t>30 Sep 2015</w:t>
            </w:r>
          </w:p>
        </w:tc>
      </w:tr>
      <w:tr w:rsidR="009A3756" w:rsidRPr="00187396" w:rsidTr="009A3756">
        <w:trPr>
          <w:cantSplit/>
        </w:trPr>
        <w:tc>
          <w:tcPr>
            <w:tcW w:w="5954"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Cash and deposits</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r>
      <w:tr w:rsidR="009A3756" w:rsidRPr="00187396" w:rsidTr="009A3756">
        <w:trPr>
          <w:cantSplit/>
        </w:trPr>
        <w:tc>
          <w:tcPr>
            <w:tcW w:w="5954" w:type="dxa"/>
            <w:tcBorders>
              <w:top w:val="nil"/>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Cash balances outside the Public Account</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1</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r>
      <w:tr w:rsidR="009A3756" w:rsidRPr="00187396" w:rsidTr="009A3756">
        <w:trPr>
          <w:cantSplit/>
        </w:trPr>
        <w:tc>
          <w:tcPr>
            <w:tcW w:w="5954" w:type="dxa"/>
            <w:tcBorders>
              <w:top w:val="nil"/>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Deposits held with the Public Account – specific trusts</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806</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97</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903</w:t>
            </w:r>
          </w:p>
        </w:tc>
      </w:tr>
      <w:tr w:rsidR="009A3756" w:rsidRPr="00187396" w:rsidTr="009A3756">
        <w:trPr>
          <w:cantSplit/>
        </w:trPr>
        <w:tc>
          <w:tcPr>
            <w:tcW w:w="5954"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Other balances held in the Public Account</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3 397</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(1 624)</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1 773</w:t>
            </w:r>
          </w:p>
        </w:tc>
      </w:tr>
      <w:tr w:rsidR="009A3756" w:rsidRPr="00187396" w:rsidTr="009A3756">
        <w:trPr>
          <w:cantSplit/>
        </w:trPr>
        <w:tc>
          <w:tcPr>
            <w:tcW w:w="5954"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Total cash and deposits</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4 204</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(1 527)</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2 677</w:t>
            </w:r>
          </w:p>
        </w:tc>
      </w:tr>
      <w:tr w:rsidR="009A3756" w:rsidRPr="00187396" w:rsidTr="009A3756">
        <w:trPr>
          <w:cantSplit/>
        </w:trPr>
        <w:tc>
          <w:tcPr>
            <w:tcW w:w="5954" w:type="dxa"/>
            <w:tcBorders>
              <w:top w:val="nil"/>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Investments</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r>
      <w:tr w:rsidR="009A3756" w:rsidRPr="00187396" w:rsidTr="009A3756">
        <w:trPr>
          <w:cantSplit/>
        </w:trPr>
        <w:tc>
          <w:tcPr>
            <w:tcW w:w="5954" w:type="dxa"/>
            <w:tcBorders>
              <w:top w:val="nil"/>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Investments held with the Public Account – specific trusts </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681</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(206)</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476</w:t>
            </w:r>
          </w:p>
        </w:tc>
      </w:tr>
      <w:tr w:rsidR="009A3756" w:rsidRPr="00187396" w:rsidTr="009A3756">
        <w:trPr>
          <w:cantSplit/>
        </w:trPr>
        <w:tc>
          <w:tcPr>
            <w:tcW w:w="5954"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Total investments</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 xml:space="preserve"> 681</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(206)</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 xml:space="preserve"> 476</w:t>
            </w:r>
          </w:p>
        </w:tc>
      </w:tr>
      <w:tr w:rsidR="009A3756" w:rsidRPr="00187396" w:rsidTr="009A3756">
        <w:trPr>
          <w:cantSplit/>
        </w:trPr>
        <w:tc>
          <w:tcPr>
            <w:tcW w:w="5954"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Total fund balances</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4 884</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(1 732)</w:t>
            </w:r>
          </w:p>
        </w:tc>
        <w:tc>
          <w:tcPr>
            <w:tcW w:w="1228" w:type="dxa"/>
            <w:tcBorders>
              <w:top w:val="single" w:sz="6" w:space="0" w:color="auto"/>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3 152</w:t>
            </w:r>
          </w:p>
        </w:tc>
      </w:tr>
      <w:tr w:rsidR="009A3756" w:rsidRPr="00187396" w:rsidTr="009A3756">
        <w:trPr>
          <w:cantSplit/>
        </w:trPr>
        <w:tc>
          <w:tcPr>
            <w:tcW w:w="5954" w:type="dxa"/>
            <w:tcBorders>
              <w:top w:val="nil"/>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Less funds held outside the Public Account</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w:t>
            </w:r>
          </w:p>
        </w:tc>
      </w:tr>
      <w:tr w:rsidR="009A3756" w:rsidRPr="00187396" w:rsidTr="009A3756">
        <w:trPr>
          <w:cantSplit/>
        </w:trPr>
        <w:tc>
          <w:tcPr>
            <w:tcW w:w="5954" w:type="dxa"/>
            <w:tcBorders>
              <w:top w:val="nil"/>
              <w:left w:val="nil"/>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Cash </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sidRPr="00187396">
              <w:rPr>
                <w:rFonts w:ascii="Calibri" w:eastAsiaTheme="minorEastAsia" w:hAnsi="Calibri" w:cs="Calibri"/>
                <w:color w:val="000000"/>
                <w:sz w:val="22"/>
                <w:szCs w:val="22"/>
                <w:lang w:eastAsia="en-AU"/>
              </w:rPr>
              <w:t xml:space="preserve"> 1</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w:t>
            </w:r>
          </w:p>
        </w:tc>
        <w:tc>
          <w:tcPr>
            <w:tcW w:w="1228" w:type="dxa"/>
            <w:tcBorders>
              <w:top w:val="nil"/>
              <w:left w:val="nil"/>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w:t>
            </w:r>
          </w:p>
        </w:tc>
      </w:tr>
      <w:tr w:rsidR="009A3756" w:rsidRPr="00187396" w:rsidTr="009A3756">
        <w:trPr>
          <w:cantSplit/>
        </w:trPr>
        <w:tc>
          <w:tcPr>
            <w:tcW w:w="5954"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Total fund balances held outside the Public Account</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 xml:space="preserve"> 1</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(1)</w:t>
            </w:r>
          </w:p>
        </w:tc>
        <w:tc>
          <w:tcPr>
            <w:tcW w:w="1228" w:type="dxa"/>
            <w:tcBorders>
              <w:top w:val="nil"/>
              <w:left w:val="nil"/>
              <w:bottom w:val="single" w:sz="6"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w:t>
            </w:r>
          </w:p>
        </w:tc>
      </w:tr>
      <w:tr w:rsidR="009A3756" w:rsidRPr="00187396" w:rsidTr="009A3756">
        <w:trPr>
          <w:cantSplit/>
        </w:trPr>
        <w:tc>
          <w:tcPr>
            <w:tcW w:w="5954" w:type="dxa"/>
            <w:tcBorders>
              <w:top w:val="single" w:sz="6" w:space="0" w:color="auto"/>
              <w:left w:val="nil"/>
              <w:bottom w:val="single" w:sz="12" w:space="0" w:color="auto"/>
              <w:right w:val="nil"/>
            </w:tcBorders>
            <w:shd w:val="clear" w:color="auto" w:fill="FFFFFF"/>
          </w:tcPr>
          <w:p w:rsidR="009A3756" w:rsidRPr="00187396" w:rsidRDefault="009A3756" w:rsidP="00187396">
            <w:pPr>
              <w:autoSpaceDE w:val="0"/>
              <w:autoSpaceDN w:val="0"/>
              <w:adjustRightInd w:val="0"/>
              <w:spacing w:after="0"/>
              <w:ind w:left="227" w:hanging="227"/>
              <w:rPr>
                <w:rFonts w:ascii="Calibri" w:eastAsiaTheme="minorEastAsia" w:hAnsi="Calibri" w:cs="Calibri"/>
                <w:b/>
                <w:bCs/>
                <w:color w:val="000000"/>
                <w:sz w:val="22"/>
                <w:szCs w:val="22"/>
                <w:vertAlign w:val="superscript"/>
                <w:lang w:eastAsia="en-AU"/>
              </w:rPr>
            </w:pPr>
            <w:r w:rsidRPr="00187396">
              <w:rPr>
                <w:rFonts w:ascii="Calibri" w:eastAsiaTheme="minorEastAsia" w:hAnsi="Calibri" w:cs="Calibri"/>
                <w:b/>
                <w:bCs/>
                <w:color w:val="000000"/>
                <w:sz w:val="22"/>
                <w:szCs w:val="22"/>
                <w:lang w:eastAsia="en-AU"/>
              </w:rPr>
              <w:t>Total f</w:t>
            </w:r>
            <w:r>
              <w:rPr>
                <w:rFonts w:ascii="Calibri" w:eastAsiaTheme="minorEastAsia" w:hAnsi="Calibri" w:cs="Calibri"/>
                <w:b/>
                <w:bCs/>
                <w:color w:val="000000"/>
                <w:sz w:val="22"/>
                <w:szCs w:val="22"/>
                <w:lang w:eastAsia="en-AU"/>
              </w:rPr>
              <w:t>unds held in the Public Account</w:t>
            </w:r>
            <w:r w:rsidRPr="00187396">
              <w:rPr>
                <w:rFonts w:ascii="Calibri" w:eastAsiaTheme="minorEastAsia" w:hAnsi="Calibri" w:cs="Calibri"/>
                <w:b/>
                <w:bCs/>
                <w:color w:val="000000"/>
                <w:sz w:val="22"/>
                <w:szCs w:val="22"/>
                <w:vertAlign w:val="superscript"/>
                <w:lang w:eastAsia="en-AU"/>
              </w:rPr>
              <w:t>(a)</w:t>
            </w:r>
          </w:p>
        </w:tc>
        <w:tc>
          <w:tcPr>
            <w:tcW w:w="1228" w:type="dxa"/>
            <w:tcBorders>
              <w:top w:val="single" w:sz="6" w:space="0" w:color="auto"/>
              <w:left w:val="nil"/>
              <w:bottom w:val="single" w:sz="12"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4 884</w:t>
            </w:r>
          </w:p>
        </w:tc>
        <w:tc>
          <w:tcPr>
            <w:tcW w:w="1228" w:type="dxa"/>
            <w:tcBorders>
              <w:top w:val="single" w:sz="6" w:space="0" w:color="auto"/>
              <w:left w:val="nil"/>
              <w:bottom w:val="single" w:sz="12"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(1 731)</w:t>
            </w:r>
          </w:p>
        </w:tc>
        <w:tc>
          <w:tcPr>
            <w:tcW w:w="1228" w:type="dxa"/>
            <w:tcBorders>
              <w:top w:val="single" w:sz="6" w:space="0" w:color="auto"/>
              <w:left w:val="nil"/>
              <w:bottom w:val="single" w:sz="12" w:space="0" w:color="auto"/>
              <w:right w:val="nil"/>
            </w:tcBorders>
            <w:shd w:val="clear" w:color="auto" w:fill="FFFFFF"/>
          </w:tcPr>
          <w:p w:rsidR="009A3756" w:rsidRPr="00187396" w:rsidRDefault="009A3756" w:rsidP="00187396">
            <w:pPr>
              <w:autoSpaceDE w:val="0"/>
              <w:autoSpaceDN w:val="0"/>
              <w:adjustRightInd w:val="0"/>
              <w:spacing w:after="0"/>
              <w:jc w:val="right"/>
              <w:rPr>
                <w:rFonts w:ascii="Calibri" w:eastAsiaTheme="minorEastAsia" w:hAnsi="Calibri" w:cs="Calibri"/>
                <w:b/>
                <w:bCs/>
                <w:color w:val="000000"/>
                <w:sz w:val="22"/>
                <w:szCs w:val="22"/>
                <w:lang w:eastAsia="en-AU"/>
              </w:rPr>
            </w:pPr>
            <w:r w:rsidRPr="00187396">
              <w:rPr>
                <w:rFonts w:ascii="Calibri" w:eastAsiaTheme="minorEastAsia" w:hAnsi="Calibri" w:cs="Calibri"/>
                <w:b/>
                <w:bCs/>
                <w:color w:val="000000"/>
                <w:sz w:val="22"/>
                <w:szCs w:val="22"/>
                <w:lang w:eastAsia="en-AU"/>
              </w:rPr>
              <w:t>3 152</w:t>
            </w:r>
          </w:p>
        </w:tc>
      </w:tr>
      <w:tr w:rsidR="009A3756" w:rsidRPr="00187396" w:rsidTr="009A3756">
        <w:trPr>
          <w:cantSplit/>
        </w:trPr>
        <w:tc>
          <w:tcPr>
            <w:tcW w:w="9638" w:type="dxa"/>
            <w:gridSpan w:val="4"/>
            <w:tcBorders>
              <w:top w:val="single" w:sz="12" w:space="0" w:color="auto"/>
              <w:left w:val="nil"/>
              <w:bottom w:val="nil"/>
              <w:right w:val="nil"/>
            </w:tcBorders>
            <w:shd w:val="clear" w:color="auto" w:fill="auto"/>
          </w:tcPr>
          <w:p w:rsidR="009A3756" w:rsidRPr="00187396" w:rsidRDefault="009A3756" w:rsidP="00187396">
            <w:pPr>
              <w:pStyle w:val="Notes"/>
              <w:rPr>
                <w:rFonts w:eastAsiaTheme="minorEastAsia"/>
                <w:lang w:eastAsia="en-AU"/>
              </w:rPr>
            </w:pPr>
            <w:r>
              <w:rPr>
                <w:rFonts w:eastAsiaTheme="minorEastAsia"/>
                <w:lang w:eastAsia="en-AU"/>
              </w:rPr>
              <w:t>Note:</w:t>
            </w:r>
          </w:p>
        </w:tc>
      </w:tr>
      <w:tr w:rsidR="009A3756" w:rsidRPr="00187396" w:rsidTr="009A3756">
        <w:trPr>
          <w:cantSplit/>
        </w:trPr>
        <w:tc>
          <w:tcPr>
            <w:tcW w:w="9638" w:type="dxa"/>
            <w:gridSpan w:val="4"/>
            <w:tcBorders>
              <w:top w:val="nil"/>
              <w:left w:val="nil"/>
              <w:bottom w:val="nil"/>
              <w:right w:val="nil"/>
            </w:tcBorders>
          </w:tcPr>
          <w:p w:rsidR="009A3756" w:rsidRPr="00187396" w:rsidRDefault="009A3756" w:rsidP="00187396">
            <w:pPr>
              <w:pStyle w:val="Notes"/>
              <w:rPr>
                <w:rFonts w:eastAsiaTheme="minorEastAsia"/>
                <w:lang w:eastAsia="en-AU"/>
              </w:rPr>
            </w:pPr>
            <w:r>
              <w:rPr>
                <w:rFonts w:eastAsiaTheme="minorEastAsia"/>
                <w:lang w:eastAsia="en-AU"/>
              </w:rPr>
              <w:t>(a)</w:t>
            </w:r>
            <w:r>
              <w:rPr>
                <w:rFonts w:eastAsiaTheme="minorEastAsia"/>
                <w:lang w:eastAsia="en-AU"/>
              </w:rPr>
              <w:tab/>
              <w:t>See Note 19(d) below for details of securities and investments including amounts held in the Public Account on behalf of trust accounts.</w:t>
            </w:r>
          </w:p>
        </w:tc>
      </w:tr>
    </w:tbl>
    <w:p w:rsidR="0056680B" w:rsidRDefault="0056680B" w:rsidP="00D16E54"/>
    <w:p w:rsidR="0094506C" w:rsidRDefault="0094506C" w:rsidP="00283E0D">
      <w:pPr>
        <w:rPr>
          <w:rFonts w:ascii="Times New Roman" w:hAnsi="Times New Roman"/>
          <w:sz w:val="20"/>
          <w:lang w:eastAsia="en-AU"/>
        </w:rPr>
      </w:pPr>
    </w:p>
    <w:p w:rsidR="009A3756" w:rsidRDefault="009A3756" w:rsidP="009A3756">
      <w:pPr>
        <w:pStyle w:val="Tableheading"/>
      </w:pPr>
      <w:r w:rsidRPr="009A3756">
        <w:t>(d)</w:t>
      </w:r>
      <w:r>
        <w:tab/>
        <w:t>Details of securities held</w:t>
      </w:r>
    </w:p>
    <w:tbl>
      <w:tblPr>
        <w:tblW w:w="9638" w:type="dxa"/>
        <w:tblInd w:w="28" w:type="dxa"/>
        <w:tblLayout w:type="fixed"/>
        <w:tblCellMar>
          <w:left w:w="28" w:type="dxa"/>
          <w:right w:w="28" w:type="dxa"/>
        </w:tblCellMar>
        <w:tblLook w:val="0000" w:firstRow="0" w:lastRow="0" w:firstColumn="0" w:lastColumn="0" w:noHBand="0" w:noVBand="0"/>
      </w:tblPr>
      <w:tblGrid>
        <w:gridCol w:w="1134"/>
        <w:gridCol w:w="6236"/>
        <w:gridCol w:w="1134"/>
        <w:gridCol w:w="1134"/>
      </w:tblGrid>
      <w:tr w:rsidR="009A3756" w:rsidRPr="0094506C" w:rsidTr="009A3756">
        <w:trPr>
          <w:cantSplit/>
          <w:tblHeader/>
        </w:trPr>
        <w:tc>
          <w:tcPr>
            <w:tcW w:w="9638" w:type="dxa"/>
            <w:gridSpan w:val="4"/>
            <w:tcBorders>
              <w:top w:val="nil"/>
              <w:left w:val="nil"/>
              <w:bottom w:val="single" w:sz="6" w:space="0" w:color="auto"/>
              <w:right w:val="nil"/>
            </w:tcBorders>
          </w:tcPr>
          <w:p w:rsidR="009A3756" w:rsidRPr="0094506C" w:rsidRDefault="009A3756" w:rsidP="0094506C">
            <w:pPr>
              <w:pStyle w:val="million"/>
              <w:rPr>
                <w:rFonts w:eastAsiaTheme="minorEastAsia"/>
                <w:lang w:eastAsia="en-AU"/>
              </w:rPr>
            </w:pPr>
            <w:r w:rsidRPr="0094506C">
              <w:rPr>
                <w:rFonts w:eastAsiaTheme="minorEastAsia"/>
                <w:lang w:eastAsia="en-AU"/>
              </w:rPr>
              <w:t>($ million)</w:t>
            </w:r>
          </w:p>
        </w:tc>
      </w:tr>
      <w:tr w:rsidR="00DB2687" w:rsidRPr="0094506C" w:rsidTr="001A01FB">
        <w:trPr>
          <w:cantSplit/>
          <w:tblHeader/>
        </w:trPr>
        <w:tc>
          <w:tcPr>
            <w:tcW w:w="1134" w:type="dxa"/>
            <w:tcBorders>
              <w:top w:val="single" w:sz="6" w:space="0" w:color="auto"/>
              <w:left w:val="single" w:sz="6" w:space="0" w:color="auto"/>
              <w:bottom w:val="nil"/>
              <w:right w:val="nil"/>
            </w:tcBorders>
            <w:shd w:val="solid" w:color="000000" w:fill="auto"/>
          </w:tcPr>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2014-15</w:t>
            </w:r>
          </w:p>
        </w:tc>
        <w:tc>
          <w:tcPr>
            <w:tcW w:w="6236" w:type="dxa"/>
            <w:tcBorders>
              <w:top w:val="single" w:sz="6" w:space="0" w:color="auto"/>
              <w:left w:val="nil"/>
              <w:bottom w:val="nil"/>
              <w:right w:val="nil"/>
            </w:tcBorders>
            <w:shd w:val="solid" w:color="000000" w:fill="auto"/>
          </w:tcPr>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 xml:space="preserve"> </w:t>
            </w:r>
          </w:p>
        </w:tc>
        <w:tc>
          <w:tcPr>
            <w:tcW w:w="2268" w:type="dxa"/>
            <w:gridSpan w:val="2"/>
            <w:tcBorders>
              <w:top w:val="single" w:sz="6" w:space="0" w:color="auto"/>
              <w:left w:val="nil"/>
              <w:bottom w:val="nil"/>
              <w:right w:val="single" w:sz="6" w:space="0" w:color="auto"/>
            </w:tcBorders>
            <w:shd w:val="solid" w:color="000000" w:fill="auto"/>
          </w:tcPr>
          <w:p w:rsidR="00DB2687" w:rsidRPr="0094506C" w:rsidRDefault="00DB2687" w:rsidP="0094506C">
            <w:pPr>
              <w:autoSpaceDE w:val="0"/>
              <w:autoSpaceDN w:val="0"/>
              <w:adjustRightInd w:val="0"/>
              <w:spacing w:after="0"/>
              <w:jc w:val="center"/>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2015-16</w:t>
            </w:r>
          </w:p>
        </w:tc>
      </w:tr>
      <w:tr w:rsidR="00DB2687" w:rsidRPr="0094506C" w:rsidTr="0030721B">
        <w:trPr>
          <w:cantSplit/>
          <w:trHeight w:val="537"/>
          <w:tblHeader/>
        </w:trPr>
        <w:tc>
          <w:tcPr>
            <w:tcW w:w="1134" w:type="dxa"/>
            <w:tcBorders>
              <w:top w:val="nil"/>
              <w:left w:val="single" w:sz="6" w:space="0" w:color="auto"/>
              <w:right w:val="nil"/>
            </w:tcBorders>
            <w:shd w:val="solid" w:color="000000" w:fill="auto"/>
          </w:tcPr>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 xml:space="preserve"> Actual </w:t>
            </w:r>
          </w:p>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to Sep</w:t>
            </w:r>
          </w:p>
        </w:tc>
        <w:tc>
          <w:tcPr>
            <w:tcW w:w="6236" w:type="dxa"/>
            <w:tcBorders>
              <w:top w:val="nil"/>
              <w:left w:val="nil"/>
              <w:right w:val="nil"/>
            </w:tcBorders>
            <w:shd w:val="solid" w:color="000000" w:fill="auto"/>
          </w:tcPr>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 xml:space="preserve"> </w:t>
            </w:r>
          </w:p>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 xml:space="preserve"> </w:t>
            </w:r>
          </w:p>
        </w:tc>
        <w:tc>
          <w:tcPr>
            <w:tcW w:w="1134" w:type="dxa"/>
            <w:tcBorders>
              <w:top w:val="nil"/>
              <w:left w:val="nil"/>
              <w:right w:val="nil"/>
            </w:tcBorders>
            <w:shd w:val="solid" w:color="000000" w:fill="auto"/>
          </w:tcPr>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Opening</w:t>
            </w:r>
          </w:p>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1 Jul</w:t>
            </w:r>
          </w:p>
        </w:tc>
        <w:tc>
          <w:tcPr>
            <w:tcW w:w="1134" w:type="dxa"/>
            <w:tcBorders>
              <w:top w:val="nil"/>
              <w:left w:val="nil"/>
              <w:right w:val="single" w:sz="6" w:space="0" w:color="auto"/>
            </w:tcBorders>
            <w:shd w:val="solid" w:color="000000" w:fill="auto"/>
          </w:tcPr>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 xml:space="preserve"> Actual </w:t>
            </w:r>
          </w:p>
          <w:p w:rsidR="00DB2687" w:rsidRPr="0094506C" w:rsidRDefault="00DB2687" w:rsidP="0094506C">
            <w:pPr>
              <w:autoSpaceDE w:val="0"/>
              <w:autoSpaceDN w:val="0"/>
              <w:adjustRightInd w:val="0"/>
              <w:spacing w:after="0"/>
              <w:jc w:val="right"/>
              <w:rPr>
                <w:rFonts w:ascii="Calibri" w:eastAsiaTheme="minorEastAsia" w:hAnsi="Calibri" w:cs="Calibri"/>
                <w:i/>
                <w:iCs/>
                <w:color w:val="FFFFFF"/>
                <w:sz w:val="22"/>
                <w:szCs w:val="22"/>
                <w:lang w:eastAsia="en-AU"/>
              </w:rPr>
            </w:pPr>
            <w:r w:rsidRPr="0094506C">
              <w:rPr>
                <w:rFonts w:ascii="Calibri" w:eastAsiaTheme="minorEastAsia" w:hAnsi="Calibri" w:cs="Calibri"/>
                <w:i/>
                <w:iCs/>
                <w:color w:val="FFFFFF"/>
                <w:sz w:val="22"/>
                <w:szCs w:val="22"/>
                <w:lang w:eastAsia="en-AU"/>
              </w:rPr>
              <w:t>30 Sep</w:t>
            </w:r>
          </w:p>
        </w:tc>
      </w:tr>
      <w:tr w:rsidR="009A3756" w:rsidRPr="0094506C" w:rsidTr="009A3756">
        <w:trPr>
          <w:cantSplit/>
        </w:trPr>
        <w:tc>
          <w:tcPr>
            <w:tcW w:w="1134" w:type="dxa"/>
            <w:tcBorders>
              <w:top w:val="single" w:sz="6" w:space="0" w:color="auto"/>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1 304</w:t>
            </w:r>
          </w:p>
        </w:tc>
        <w:tc>
          <w:tcPr>
            <w:tcW w:w="6236" w:type="dxa"/>
            <w:tcBorders>
              <w:top w:val="single" w:sz="6" w:space="0" w:color="auto"/>
              <w:left w:val="nil"/>
              <w:right w:val="nil"/>
            </w:tcBorders>
            <w:shd w:val="clear" w:color="auto"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Amounts invested on behalf of specific trust accounts </w:t>
            </w:r>
          </w:p>
        </w:tc>
        <w:tc>
          <w:tcPr>
            <w:tcW w:w="1134" w:type="dxa"/>
            <w:tcBorders>
              <w:top w:val="single" w:sz="6" w:space="0" w:color="auto"/>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1 487</w:t>
            </w:r>
          </w:p>
        </w:tc>
        <w:tc>
          <w:tcPr>
            <w:tcW w:w="1134" w:type="dxa"/>
            <w:tcBorders>
              <w:top w:val="single" w:sz="6" w:space="0" w:color="auto"/>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1 379</w:t>
            </w:r>
          </w:p>
        </w:tc>
      </w:tr>
      <w:tr w:rsidR="009A3756" w:rsidRPr="0094506C" w:rsidTr="009A3756">
        <w:trPr>
          <w:cantSplit/>
        </w:trPr>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Pr>
                <w:rFonts w:ascii="Calibri" w:eastAsiaTheme="minorEastAsia" w:hAnsi="Calibri" w:cs="Calibri"/>
                <w:color w:val="000000"/>
                <w:sz w:val="22"/>
                <w:szCs w:val="22"/>
                <w:lang w:eastAsia="en-AU"/>
              </w:rPr>
              <w:t>1 300</w:t>
            </w:r>
          </w:p>
        </w:tc>
        <w:tc>
          <w:tcPr>
            <w:tcW w:w="6236"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General account balances</w:t>
            </w:r>
          </w:p>
        </w:tc>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3 397</w:t>
            </w:r>
          </w:p>
        </w:tc>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1 773</w:t>
            </w:r>
          </w:p>
        </w:tc>
      </w:tr>
      <w:tr w:rsidR="009A3756" w:rsidRPr="0094506C" w:rsidTr="009A3756">
        <w:trPr>
          <w:cantSplit/>
        </w:trPr>
        <w:tc>
          <w:tcPr>
            <w:tcW w:w="1134" w:type="dxa"/>
            <w:tcBorders>
              <w:top w:val="single" w:sz="6" w:space="0" w:color="auto"/>
              <w:left w:val="nil"/>
              <w:right w:val="nil"/>
            </w:tcBorders>
            <w:shd w:val="clear" w:color="000000"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2 604</w:t>
            </w:r>
          </w:p>
        </w:tc>
        <w:tc>
          <w:tcPr>
            <w:tcW w:w="6236" w:type="dxa"/>
            <w:tcBorders>
              <w:top w:val="single" w:sz="6" w:space="0" w:color="auto"/>
              <w:left w:val="nil"/>
              <w:right w:val="nil"/>
            </w:tcBorders>
            <w:shd w:val="clear" w:color="000000"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Total Public A</w:t>
            </w:r>
            <w:r w:rsidRPr="0094506C">
              <w:rPr>
                <w:rFonts w:ascii="Calibri" w:eastAsiaTheme="minorEastAsia" w:hAnsi="Calibri" w:cs="Calibri"/>
                <w:b/>
                <w:bCs/>
                <w:color w:val="000000"/>
                <w:sz w:val="22"/>
                <w:szCs w:val="22"/>
                <w:lang w:eastAsia="en-AU"/>
              </w:rPr>
              <w:t>ccount</w:t>
            </w:r>
          </w:p>
        </w:tc>
        <w:tc>
          <w:tcPr>
            <w:tcW w:w="1134" w:type="dxa"/>
            <w:tcBorders>
              <w:top w:val="single" w:sz="6" w:space="0" w:color="auto"/>
              <w:left w:val="nil"/>
              <w:right w:val="nil"/>
            </w:tcBorders>
            <w:shd w:val="clear" w:color="000000"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4 884</w:t>
            </w:r>
          </w:p>
        </w:tc>
        <w:tc>
          <w:tcPr>
            <w:tcW w:w="1134" w:type="dxa"/>
            <w:tcBorders>
              <w:top w:val="single" w:sz="6" w:space="0" w:color="auto"/>
              <w:left w:val="nil"/>
              <w:right w:val="nil"/>
            </w:tcBorders>
            <w:shd w:val="clear" w:color="000000"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3 152</w:t>
            </w:r>
          </w:p>
        </w:tc>
      </w:tr>
      <w:tr w:rsidR="009A3756" w:rsidRPr="0094506C" w:rsidTr="009A3756">
        <w:trPr>
          <w:cantSplit/>
        </w:trPr>
        <w:tc>
          <w:tcPr>
            <w:tcW w:w="1134" w:type="dxa"/>
            <w:tcBorders>
              <w:top w:val="nil"/>
              <w:left w:val="nil"/>
              <w:right w:val="nil"/>
            </w:tcBorders>
            <w:shd w:val="clear" w:color="000000" w:fill="FFFFFF"/>
          </w:tcPr>
          <w:p w:rsidR="009A3756" w:rsidRPr="0094506C" w:rsidRDefault="009A3756" w:rsidP="0094506C">
            <w:pPr>
              <w:autoSpaceDE w:val="0"/>
              <w:autoSpaceDN w:val="0"/>
              <w:adjustRightInd w:val="0"/>
              <w:spacing w:after="0"/>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000000"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Represented by:</w:t>
            </w:r>
          </w:p>
        </w:tc>
        <w:tc>
          <w:tcPr>
            <w:tcW w:w="1134" w:type="dxa"/>
            <w:tcBorders>
              <w:top w:val="nil"/>
              <w:left w:val="nil"/>
              <w:right w:val="nil"/>
            </w:tcBorders>
            <w:shd w:val="clear" w:color="000000" w:fill="FFFFFF"/>
          </w:tcPr>
          <w:p w:rsidR="009A3756" w:rsidRPr="0094506C" w:rsidRDefault="009A3756" w:rsidP="0094506C">
            <w:pPr>
              <w:autoSpaceDE w:val="0"/>
              <w:autoSpaceDN w:val="0"/>
              <w:adjustRightInd w:val="0"/>
              <w:spacing w:after="0"/>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000000" w:fill="FFFFFF"/>
          </w:tcPr>
          <w:p w:rsidR="009A3756" w:rsidRPr="0094506C" w:rsidRDefault="009A3756" w:rsidP="0094506C">
            <w:pPr>
              <w:autoSpaceDE w:val="0"/>
              <w:autoSpaceDN w:val="0"/>
              <w:adjustRightInd w:val="0"/>
              <w:spacing w:after="0"/>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 </w:t>
            </w:r>
          </w:p>
        </w:tc>
      </w:tr>
      <w:tr w:rsidR="009A3756" w:rsidRPr="0094506C" w:rsidTr="009A3756">
        <w:trPr>
          <w:cantSplit/>
        </w:trPr>
        <w:tc>
          <w:tcPr>
            <w:tcW w:w="1134" w:type="dxa"/>
            <w:tcBorders>
              <w:top w:val="nil"/>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1 304</w:t>
            </w:r>
          </w:p>
        </w:tc>
        <w:tc>
          <w:tcPr>
            <w:tcW w:w="6236" w:type="dxa"/>
            <w:tcBorders>
              <w:top w:val="nil"/>
              <w:left w:val="nil"/>
              <w:right w:val="nil"/>
            </w:tcBorders>
            <w:shd w:val="clear" w:color="auto"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Stocks and securities</w:t>
            </w:r>
          </w:p>
        </w:tc>
        <w:tc>
          <w:tcPr>
            <w:tcW w:w="1134" w:type="dxa"/>
            <w:tcBorders>
              <w:top w:val="nil"/>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1 487</w:t>
            </w:r>
          </w:p>
        </w:tc>
        <w:tc>
          <w:tcPr>
            <w:tcW w:w="1134" w:type="dxa"/>
            <w:tcBorders>
              <w:top w:val="nil"/>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1 379</w:t>
            </w:r>
          </w:p>
        </w:tc>
      </w:tr>
      <w:tr w:rsidR="009A3756" w:rsidRPr="0094506C" w:rsidTr="009A3756">
        <w:trPr>
          <w:cantSplit/>
        </w:trPr>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1 052</w:t>
            </w:r>
          </w:p>
        </w:tc>
        <w:tc>
          <w:tcPr>
            <w:tcW w:w="6236"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Cash and investments</w:t>
            </w:r>
          </w:p>
        </w:tc>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2 087</w:t>
            </w:r>
          </w:p>
        </w:tc>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 498</w:t>
            </w:r>
          </w:p>
        </w:tc>
      </w:tr>
      <w:tr w:rsidR="009A3756" w:rsidRPr="0094506C" w:rsidTr="009A3756">
        <w:trPr>
          <w:cantSplit/>
        </w:trPr>
        <w:tc>
          <w:tcPr>
            <w:tcW w:w="1134" w:type="dxa"/>
            <w:tcBorders>
              <w:top w:val="single" w:sz="6" w:space="0" w:color="auto"/>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2 356</w:t>
            </w:r>
          </w:p>
        </w:tc>
        <w:tc>
          <w:tcPr>
            <w:tcW w:w="6236" w:type="dxa"/>
            <w:tcBorders>
              <w:top w:val="single" w:sz="6" w:space="0" w:color="auto"/>
              <w:left w:val="nil"/>
              <w:right w:val="nil"/>
            </w:tcBorders>
            <w:shd w:val="clear" w:color="auto"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Total stock, securities, cash and investments</w:t>
            </w:r>
          </w:p>
        </w:tc>
        <w:tc>
          <w:tcPr>
            <w:tcW w:w="1134" w:type="dxa"/>
            <w:tcBorders>
              <w:top w:val="single" w:sz="6" w:space="0" w:color="auto"/>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3 574</w:t>
            </w:r>
          </w:p>
        </w:tc>
        <w:tc>
          <w:tcPr>
            <w:tcW w:w="1134" w:type="dxa"/>
            <w:tcBorders>
              <w:top w:val="single" w:sz="6" w:space="0" w:color="auto"/>
              <w:left w:val="nil"/>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1 877</w:t>
            </w:r>
          </w:p>
        </w:tc>
      </w:tr>
      <w:tr w:rsidR="009A3756" w:rsidRPr="0094506C" w:rsidTr="009A3756">
        <w:trPr>
          <w:cantSplit/>
        </w:trPr>
        <w:tc>
          <w:tcPr>
            <w:tcW w:w="1134" w:type="dxa"/>
            <w:tcBorders>
              <w:top w:val="nil"/>
              <w:left w:val="nil"/>
              <w:right w:val="nil"/>
            </w:tcBorders>
            <w:shd w:val="clear" w:color="auto" w:fill="FFFFFF"/>
          </w:tcPr>
          <w:p w:rsidR="009A3756" w:rsidRPr="0094506C" w:rsidRDefault="009A3756" w:rsidP="0094506C">
            <w:pPr>
              <w:autoSpaceDE w:val="0"/>
              <w:autoSpaceDN w:val="0"/>
              <w:adjustRightInd w:val="0"/>
              <w:spacing w:after="0"/>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 </w:t>
            </w:r>
          </w:p>
        </w:tc>
        <w:tc>
          <w:tcPr>
            <w:tcW w:w="6236" w:type="dxa"/>
            <w:tcBorders>
              <w:top w:val="nil"/>
              <w:left w:val="nil"/>
              <w:right w:val="nil"/>
            </w:tcBorders>
            <w:shd w:val="clear" w:color="auto"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Add cash advanced for:  </w:t>
            </w:r>
          </w:p>
        </w:tc>
        <w:tc>
          <w:tcPr>
            <w:tcW w:w="1134" w:type="dxa"/>
            <w:tcBorders>
              <w:top w:val="nil"/>
              <w:left w:val="nil"/>
              <w:right w:val="nil"/>
            </w:tcBorders>
            <w:shd w:val="clear" w:color="auto" w:fill="FFFFFF"/>
          </w:tcPr>
          <w:p w:rsidR="009A3756" w:rsidRPr="0094506C" w:rsidRDefault="009A3756" w:rsidP="0094506C">
            <w:pPr>
              <w:autoSpaceDE w:val="0"/>
              <w:autoSpaceDN w:val="0"/>
              <w:adjustRightInd w:val="0"/>
              <w:spacing w:after="0"/>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 </w:t>
            </w:r>
          </w:p>
        </w:tc>
        <w:tc>
          <w:tcPr>
            <w:tcW w:w="1134" w:type="dxa"/>
            <w:tcBorders>
              <w:top w:val="nil"/>
              <w:left w:val="nil"/>
              <w:right w:val="nil"/>
            </w:tcBorders>
            <w:shd w:val="clear" w:color="auto" w:fill="FFFFFF"/>
          </w:tcPr>
          <w:p w:rsidR="009A3756" w:rsidRPr="0094506C" w:rsidRDefault="009A3756" w:rsidP="0094506C">
            <w:pPr>
              <w:autoSpaceDE w:val="0"/>
              <w:autoSpaceDN w:val="0"/>
              <w:adjustRightInd w:val="0"/>
              <w:spacing w:after="0"/>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 </w:t>
            </w:r>
          </w:p>
        </w:tc>
      </w:tr>
      <w:tr w:rsidR="009A3756" w:rsidRPr="0094506C" w:rsidTr="009A3756">
        <w:trPr>
          <w:cantSplit/>
        </w:trPr>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 xml:space="preserve"> 248</w:t>
            </w:r>
          </w:p>
        </w:tc>
        <w:tc>
          <w:tcPr>
            <w:tcW w:w="6236"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i/>
                <w:iCs/>
                <w:color w:val="000000"/>
                <w:sz w:val="22"/>
                <w:szCs w:val="22"/>
                <w:lang w:eastAsia="en-AU"/>
              </w:rPr>
            </w:pPr>
            <w:r w:rsidRPr="0094506C">
              <w:rPr>
                <w:rFonts w:ascii="Calibri" w:eastAsiaTheme="minorEastAsia" w:hAnsi="Calibri" w:cs="Calibri"/>
                <w:color w:val="000000"/>
                <w:sz w:val="22"/>
                <w:szCs w:val="22"/>
                <w:lang w:eastAsia="en-AU"/>
              </w:rPr>
              <w:t xml:space="preserve">Advances pursuant to sections 36 and 37 of the </w:t>
            </w:r>
            <w:r w:rsidRPr="0094506C">
              <w:rPr>
                <w:rFonts w:ascii="Calibri" w:eastAsiaTheme="minorEastAsia" w:hAnsi="Calibri" w:cs="Calibri"/>
                <w:i/>
                <w:iCs/>
                <w:color w:val="000000"/>
                <w:sz w:val="22"/>
                <w:szCs w:val="22"/>
                <w:lang w:eastAsia="en-AU"/>
              </w:rPr>
              <w:t>Financial Management Act 1994</w:t>
            </w:r>
          </w:p>
        </w:tc>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1 310</w:t>
            </w:r>
          </w:p>
        </w:tc>
        <w:tc>
          <w:tcPr>
            <w:tcW w:w="1134" w:type="dxa"/>
            <w:tcBorders>
              <w:top w:val="nil"/>
              <w:left w:val="nil"/>
              <w:bottom w:val="single" w:sz="6"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color w:val="000000"/>
                <w:sz w:val="22"/>
                <w:szCs w:val="22"/>
                <w:lang w:eastAsia="en-AU"/>
              </w:rPr>
            </w:pPr>
            <w:r w:rsidRPr="0094506C">
              <w:rPr>
                <w:rFonts w:ascii="Calibri" w:eastAsiaTheme="minorEastAsia" w:hAnsi="Calibri" w:cs="Calibri"/>
                <w:color w:val="000000"/>
                <w:sz w:val="22"/>
                <w:szCs w:val="22"/>
                <w:lang w:eastAsia="en-AU"/>
              </w:rPr>
              <w:t>1 275</w:t>
            </w:r>
          </w:p>
        </w:tc>
      </w:tr>
      <w:tr w:rsidR="009A3756" w:rsidRPr="0094506C" w:rsidTr="009A3756">
        <w:trPr>
          <w:cantSplit/>
        </w:trPr>
        <w:tc>
          <w:tcPr>
            <w:tcW w:w="1134" w:type="dxa"/>
            <w:tcBorders>
              <w:top w:val="single" w:sz="6" w:space="0" w:color="auto"/>
              <w:left w:val="nil"/>
              <w:bottom w:val="single" w:sz="12"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2 604</w:t>
            </w:r>
          </w:p>
        </w:tc>
        <w:tc>
          <w:tcPr>
            <w:tcW w:w="6236" w:type="dxa"/>
            <w:tcBorders>
              <w:top w:val="single" w:sz="6" w:space="0" w:color="auto"/>
              <w:left w:val="nil"/>
              <w:bottom w:val="single" w:sz="12" w:space="0" w:color="auto"/>
              <w:right w:val="nil"/>
            </w:tcBorders>
            <w:shd w:val="clear" w:color="auto" w:fill="FFFFFF"/>
          </w:tcPr>
          <w:p w:rsidR="009A3756" w:rsidRPr="0094506C" w:rsidRDefault="009A3756" w:rsidP="0094506C">
            <w:pPr>
              <w:autoSpaceDE w:val="0"/>
              <w:autoSpaceDN w:val="0"/>
              <w:adjustRightInd w:val="0"/>
              <w:spacing w:after="0"/>
              <w:ind w:left="340" w:hanging="227"/>
              <w:rPr>
                <w:rFonts w:ascii="Calibri" w:eastAsiaTheme="minorEastAsia" w:hAnsi="Calibri" w:cs="Calibri"/>
                <w:b/>
                <w:bCs/>
                <w:color w:val="000000"/>
                <w:sz w:val="22"/>
                <w:szCs w:val="22"/>
                <w:lang w:eastAsia="en-AU"/>
              </w:rPr>
            </w:pPr>
            <w:r>
              <w:rPr>
                <w:rFonts w:ascii="Calibri" w:eastAsiaTheme="minorEastAsia" w:hAnsi="Calibri" w:cs="Calibri"/>
                <w:b/>
                <w:bCs/>
                <w:color w:val="000000"/>
                <w:sz w:val="22"/>
                <w:szCs w:val="22"/>
                <w:lang w:eastAsia="en-AU"/>
              </w:rPr>
              <w:t>Total Public A</w:t>
            </w:r>
            <w:r w:rsidRPr="0094506C">
              <w:rPr>
                <w:rFonts w:ascii="Calibri" w:eastAsiaTheme="minorEastAsia" w:hAnsi="Calibri" w:cs="Calibri"/>
                <w:b/>
                <w:bCs/>
                <w:color w:val="000000"/>
                <w:sz w:val="22"/>
                <w:szCs w:val="22"/>
                <w:lang w:eastAsia="en-AU"/>
              </w:rPr>
              <w:t>ccount</w:t>
            </w:r>
          </w:p>
        </w:tc>
        <w:tc>
          <w:tcPr>
            <w:tcW w:w="1134" w:type="dxa"/>
            <w:tcBorders>
              <w:top w:val="single" w:sz="6" w:space="0" w:color="auto"/>
              <w:left w:val="nil"/>
              <w:bottom w:val="single" w:sz="12"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4 884</w:t>
            </w:r>
          </w:p>
        </w:tc>
        <w:tc>
          <w:tcPr>
            <w:tcW w:w="1134" w:type="dxa"/>
            <w:tcBorders>
              <w:top w:val="single" w:sz="6" w:space="0" w:color="auto"/>
              <w:left w:val="nil"/>
              <w:bottom w:val="single" w:sz="12" w:space="0" w:color="auto"/>
              <w:right w:val="nil"/>
            </w:tcBorders>
            <w:shd w:val="clear" w:color="auto" w:fill="FFFFFF"/>
          </w:tcPr>
          <w:p w:rsidR="009A3756" w:rsidRPr="0094506C" w:rsidRDefault="009A3756" w:rsidP="0094506C">
            <w:pPr>
              <w:autoSpaceDE w:val="0"/>
              <w:autoSpaceDN w:val="0"/>
              <w:adjustRightInd w:val="0"/>
              <w:spacing w:after="0"/>
              <w:jc w:val="right"/>
              <w:rPr>
                <w:rFonts w:ascii="Calibri" w:eastAsiaTheme="minorEastAsia" w:hAnsi="Calibri" w:cs="Calibri"/>
                <w:b/>
                <w:bCs/>
                <w:color w:val="000000"/>
                <w:sz w:val="22"/>
                <w:szCs w:val="22"/>
                <w:lang w:eastAsia="en-AU"/>
              </w:rPr>
            </w:pPr>
            <w:r w:rsidRPr="0094506C">
              <w:rPr>
                <w:rFonts w:ascii="Calibri" w:eastAsiaTheme="minorEastAsia" w:hAnsi="Calibri" w:cs="Calibri"/>
                <w:b/>
                <w:bCs/>
                <w:color w:val="000000"/>
                <w:sz w:val="22"/>
                <w:szCs w:val="22"/>
                <w:lang w:eastAsia="en-AU"/>
              </w:rPr>
              <w:t>3 152</w:t>
            </w:r>
          </w:p>
        </w:tc>
      </w:tr>
      <w:tr w:rsidR="009A3756" w:rsidRPr="0094506C" w:rsidTr="009A3756">
        <w:trPr>
          <w:cantSplit/>
        </w:trPr>
        <w:tc>
          <w:tcPr>
            <w:tcW w:w="9638" w:type="dxa"/>
            <w:gridSpan w:val="4"/>
            <w:tcBorders>
              <w:top w:val="single" w:sz="12" w:space="0" w:color="auto"/>
              <w:left w:val="nil"/>
              <w:bottom w:val="nil"/>
              <w:right w:val="nil"/>
            </w:tcBorders>
            <w:shd w:val="clear" w:color="auto" w:fill="auto"/>
          </w:tcPr>
          <w:p w:rsidR="009A3756" w:rsidRPr="0094506C" w:rsidRDefault="009A3756" w:rsidP="0094506C">
            <w:pPr>
              <w:pStyle w:val="Notes"/>
              <w:rPr>
                <w:rFonts w:eastAsiaTheme="minorEastAsia"/>
                <w:lang w:eastAsia="en-AU"/>
              </w:rPr>
            </w:pPr>
          </w:p>
        </w:tc>
      </w:tr>
    </w:tbl>
    <w:p w:rsidR="0056680B" w:rsidRDefault="0056680B" w:rsidP="00283E0D"/>
    <w:p w:rsidR="0056680B" w:rsidRDefault="0056680B" w:rsidP="00283E0D"/>
    <w:p w:rsidR="0056680B" w:rsidRDefault="0056680B" w:rsidP="00283E0D"/>
    <w:p w:rsidR="00F1499B" w:rsidRDefault="00F1499B">
      <w:pPr>
        <w:spacing w:after="0"/>
        <w:rPr>
          <w:rFonts w:ascii="Calibri" w:hAnsi="Calibri"/>
          <w:b/>
          <w:kern w:val="28"/>
          <w:sz w:val="28"/>
          <w:szCs w:val="22"/>
        </w:rPr>
      </w:pPr>
      <w:r>
        <w:br w:type="page"/>
      </w:r>
    </w:p>
    <w:p w:rsidR="00283E0D" w:rsidRDefault="00587DC4" w:rsidP="00283E0D">
      <w:pPr>
        <w:pStyle w:val="Heading2NotesQtrly"/>
      </w:pPr>
      <w:bookmarkStart w:id="30" w:name="_Toc435107452"/>
      <w:r>
        <w:lastRenderedPageBreak/>
        <w:t>Note 20</w:t>
      </w:r>
      <w:r w:rsidR="00283E0D">
        <w:t>:</w:t>
      </w:r>
      <w:r w:rsidR="00283E0D">
        <w:tab/>
        <w:t>Glossary of technical terms</w:t>
      </w:r>
      <w:bookmarkEnd w:id="30"/>
    </w:p>
    <w:p w:rsidR="00283E0D" w:rsidRPr="00597B56" w:rsidRDefault="00597B56" w:rsidP="00283E0D">
      <w:r>
        <w:t xml:space="preserve">The </w:t>
      </w:r>
      <w:r>
        <w:rPr>
          <w:i/>
        </w:rPr>
        <w:t>2014-15 Financial Report</w:t>
      </w:r>
      <w:r>
        <w:t xml:space="preserve"> for the State of Victoria (Note 40) contains a comprehensive summary of the major technical terms used in this report. </w:t>
      </w:r>
    </w:p>
    <w:p w:rsidR="00283E0D" w:rsidRDefault="00283E0D" w:rsidP="0056680B"/>
    <w:p w:rsidR="0056680B" w:rsidRDefault="0056680B" w:rsidP="0056680B"/>
    <w:p w:rsidR="00283E0D" w:rsidRDefault="00283E0D" w:rsidP="00283E0D">
      <w:pPr>
        <w:pStyle w:val="Heading2NotesQtrly"/>
      </w:pPr>
      <w:bookmarkStart w:id="31" w:name="_Toc435107453"/>
      <w:r>
        <w:t xml:space="preserve">Note </w:t>
      </w:r>
      <w:r w:rsidR="00587DC4">
        <w:t>21</w:t>
      </w:r>
      <w:r>
        <w:t>:</w:t>
      </w:r>
      <w:r>
        <w:tab/>
        <w:t>Controlled entities</w:t>
      </w:r>
      <w:bookmarkEnd w:id="31"/>
    </w:p>
    <w:p w:rsidR="008A3A8D" w:rsidRPr="008A3A8D" w:rsidRDefault="00C11D49" w:rsidP="008A3A8D">
      <w:pPr>
        <w:spacing w:after="200" w:line="276" w:lineRule="auto"/>
      </w:pPr>
      <w:r>
        <w:t>Note 4</w:t>
      </w:r>
      <w:r w:rsidR="008A3A8D" w:rsidRPr="008A3A8D">
        <w:t xml:space="preserve">2 Controlled Entities in the </w:t>
      </w:r>
      <w:r w:rsidR="008A3A8D" w:rsidRPr="008A3A8D">
        <w:rPr>
          <w:i/>
        </w:rPr>
        <w:t xml:space="preserve">2014-15 Financial Report </w:t>
      </w:r>
      <w:r w:rsidR="00C36683">
        <w:t>for</w:t>
      </w:r>
      <w:r w:rsidR="008A3A8D" w:rsidRPr="00344534">
        <w:t xml:space="preserve"> the State of Victoria</w:t>
      </w:r>
      <w:r w:rsidR="008A3A8D" w:rsidRPr="008A3A8D">
        <w:t xml:space="preserve"> contains a list of significant controlled entities which have been consolidated for the purposes of the financial report.</w:t>
      </w:r>
    </w:p>
    <w:p w:rsidR="008A3A8D" w:rsidRPr="001913DC" w:rsidRDefault="001913DC" w:rsidP="001913DC">
      <w:pPr>
        <w:spacing w:after="200" w:line="276" w:lineRule="auto"/>
      </w:pPr>
      <w:r>
        <w:t xml:space="preserve">The following are </w:t>
      </w:r>
      <w:r w:rsidR="008A3A8D" w:rsidRPr="008A3A8D">
        <w:t>changes from 1 July 2015, of general government sector entities which have been consolidated for the p</w:t>
      </w:r>
      <w:r>
        <w:t>urposes of the financial report:</w:t>
      </w:r>
    </w:p>
    <w:p w:rsidR="008A3A8D" w:rsidRPr="001913DC" w:rsidRDefault="001913DC" w:rsidP="001913DC">
      <w:pPr>
        <w:pStyle w:val="BulletText"/>
      </w:pPr>
      <w:r>
        <w:t>i</w:t>
      </w:r>
      <w:r w:rsidR="008A3A8D" w:rsidRPr="001913DC">
        <w:t>n the 2015</w:t>
      </w:r>
      <w:r w:rsidR="008A3A8D" w:rsidRPr="001913DC">
        <w:noBreakHyphen/>
        <w:t>16 financial year</w:t>
      </w:r>
      <w:r w:rsidR="00F050C5" w:rsidRPr="001913DC">
        <w:t>,</w:t>
      </w:r>
      <w:r w:rsidR="008A3A8D" w:rsidRPr="001913DC">
        <w:t xml:space="preserve"> the Domestic (HIH) Indemnity Fund and Housing Guarantee Claims and Linking Melbourne Authority ceased </w:t>
      </w:r>
      <w:r w:rsidRPr="001913DC">
        <w:t>to exist; and</w:t>
      </w:r>
    </w:p>
    <w:p w:rsidR="008A3A8D" w:rsidRPr="001913DC" w:rsidRDefault="001913DC" w:rsidP="001913DC">
      <w:pPr>
        <w:pStyle w:val="BulletText"/>
      </w:pPr>
      <w:r>
        <w:t>e</w:t>
      </w:r>
      <w:r w:rsidR="008A3A8D" w:rsidRPr="001913DC">
        <w:t xml:space="preserve">ffective </w:t>
      </w:r>
      <w:r w:rsidR="00F050C5" w:rsidRPr="001913DC">
        <w:t xml:space="preserve">from </w:t>
      </w:r>
      <w:r w:rsidR="008A3A8D" w:rsidRPr="001913DC">
        <w:t>22 September 2015, the Victorian Competition and Effic</w:t>
      </w:r>
      <w:r w:rsidR="00C46763" w:rsidRPr="001913DC">
        <w:t>iency Commission ceased to exist</w:t>
      </w:r>
      <w:r w:rsidR="008A3A8D" w:rsidRPr="001913DC">
        <w:t>.</w:t>
      </w:r>
    </w:p>
    <w:p w:rsidR="001913DC" w:rsidRPr="001913DC" w:rsidRDefault="001913DC">
      <w:pPr>
        <w:spacing w:after="0"/>
      </w:pPr>
      <w:r w:rsidRPr="001913DC">
        <w:br w:type="page"/>
      </w:r>
    </w:p>
    <w:p w:rsidR="002111D2" w:rsidRDefault="007D0381" w:rsidP="00CE212F">
      <w:pPr>
        <w:pStyle w:val="Heading1"/>
        <w:rPr>
          <w:rFonts w:ascii="Times New Roman" w:hAnsi="Times New Roman"/>
          <w:b w:val="0"/>
          <w:caps w:val="0"/>
          <w:sz w:val="20"/>
          <w:szCs w:val="20"/>
          <w:lang w:eastAsia="en-AU"/>
        </w:rPr>
      </w:pPr>
      <w:bookmarkStart w:id="32" w:name="_Toc435107520"/>
      <w:r>
        <w:lastRenderedPageBreak/>
        <w:t>R</w:t>
      </w:r>
      <w:r w:rsidR="00283E0D">
        <w:t xml:space="preserve">esults quarter by quarter – </w:t>
      </w:r>
      <w:r>
        <w:t>V</w:t>
      </w:r>
      <w:r w:rsidR="00283E0D">
        <w:t>ictorian general government sector</w:t>
      </w:r>
      <w:bookmarkEnd w:id="32"/>
    </w:p>
    <w:p w:rsidR="009A3756" w:rsidRDefault="009A3756" w:rsidP="006644EB">
      <w:pPr>
        <w:pStyle w:val="Heading2"/>
      </w:pPr>
      <w:bookmarkStart w:id="33" w:name="_Toc435107521"/>
      <w:r w:rsidRPr="009A3756">
        <w:t>Consolidated comprehensive operating statement for</w:t>
      </w:r>
      <w:r>
        <w:t xml:space="preserve"> the past five quarters</w:t>
      </w:r>
      <w:bookmarkEnd w:id="33"/>
    </w:p>
    <w:tbl>
      <w:tblPr>
        <w:tblW w:w="9636" w:type="dxa"/>
        <w:tblInd w:w="28" w:type="dxa"/>
        <w:tblLayout w:type="fixed"/>
        <w:tblCellMar>
          <w:left w:w="28" w:type="dxa"/>
          <w:right w:w="28" w:type="dxa"/>
        </w:tblCellMar>
        <w:tblLook w:val="0000" w:firstRow="0" w:lastRow="0" w:firstColumn="0" w:lastColumn="0" w:noHBand="0" w:noVBand="0"/>
      </w:tblPr>
      <w:tblGrid>
        <w:gridCol w:w="5103"/>
        <w:gridCol w:w="142"/>
        <w:gridCol w:w="142"/>
        <w:gridCol w:w="425"/>
        <w:gridCol w:w="992"/>
        <w:gridCol w:w="993"/>
        <w:gridCol w:w="992"/>
        <w:gridCol w:w="847"/>
      </w:tblGrid>
      <w:tr w:rsidR="00DB2687" w:rsidRPr="002111D2" w:rsidTr="00DB2687">
        <w:trPr>
          <w:cantSplit/>
          <w:tblHeader/>
        </w:trPr>
        <w:tc>
          <w:tcPr>
            <w:tcW w:w="9636" w:type="dxa"/>
            <w:gridSpan w:val="8"/>
            <w:tcBorders>
              <w:top w:val="nil"/>
              <w:left w:val="nil"/>
              <w:bottom w:val="nil"/>
              <w:right w:val="nil"/>
            </w:tcBorders>
          </w:tcPr>
          <w:p w:rsidR="00DB2687" w:rsidRPr="002111D2" w:rsidRDefault="00DB2687" w:rsidP="002111D2">
            <w:pPr>
              <w:pStyle w:val="million"/>
              <w:rPr>
                <w:rFonts w:eastAsiaTheme="minorEastAsia"/>
                <w:lang w:eastAsia="en-AU"/>
              </w:rPr>
            </w:pPr>
            <w:r w:rsidRPr="002111D2">
              <w:rPr>
                <w:rFonts w:eastAsiaTheme="minorEastAsia"/>
                <w:lang w:eastAsia="en-AU"/>
              </w:rPr>
              <w:t>($ million)</w:t>
            </w:r>
          </w:p>
        </w:tc>
      </w:tr>
      <w:tr w:rsidR="00DB2687" w:rsidRPr="002111D2" w:rsidTr="00DB2687">
        <w:trPr>
          <w:cantSplit/>
          <w:tblHeader/>
        </w:trPr>
        <w:tc>
          <w:tcPr>
            <w:tcW w:w="5103" w:type="dxa"/>
            <w:tcBorders>
              <w:top w:val="nil"/>
              <w:left w:val="nil"/>
              <w:bottom w:val="nil"/>
              <w:right w:val="nil"/>
            </w:tcBorders>
            <w:shd w:val="solid" w:color="000000" w:fill="auto"/>
          </w:tcPr>
          <w:p w:rsidR="00DB2687" w:rsidRPr="002111D2" w:rsidRDefault="00DB2687" w:rsidP="002111D2">
            <w:pPr>
              <w:autoSpaceDE w:val="0"/>
              <w:autoSpaceDN w:val="0"/>
              <w:adjustRightInd w:val="0"/>
              <w:spacing w:after="0"/>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w:t>
            </w:r>
          </w:p>
        </w:tc>
        <w:tc>
          <w:tcPr>
            <w:tcW w:w="3686" w:type="dxa"/>
            <w:gridSpan w:val="6"/>
            <w:tcBorders>
              <w:top w:val="nil"/>
              <w:left w:val="nil"/>
              <w:bottom w:val="nil"/>
              <w:right w:val="nil"/>
            </w:tcBorders>
            <w:shd w:val="solid" w:color="000000" w:fill="auto"/>
          </w:tcPr>
          <w:p w:rsidR="00DB2687" w:rsidRPr="002111D2" w:rsidRDefault="00DB2687" w:rsidP="00DB2687">
            <w:pPr>
              <w:autoSpaceDE w:val="0"/>
              <w:autoSpaceDN w:val="0"/>
              <w:adjustRightInd w:val="0"/>
              <w:spacing w:after="0"/>
              <w:jc w:val="center"/>
              <w:rPr>
                <w:rFonts w:ascii="Calibri" w:eastAsiaTheme="minorEastAsia" w:hAnsi="Calibri" w:cs="Calibri"/>
                <w:i/>
                <w:iCs/>
                <w:color w:val="FFFFFF"/>
                <w:sz w:val="20"/>
                <w:szCs w:val="22"/>
                <w:lang w:eastAsia="en-AU"/>
              </w:rPr>
            </w:pPr>
            <w:r w:rsidRPr="002111D2">
              <w:rPr>
                <w:rFonts w:ascii="Calibri" w:eastAsiaTheme="minorEastAsia" w:hAnsi="Calibri" w:cs="Calibri"/>
                <w:i/>
                <w:iCs/>
                <w:color w:val="FFFFFF"/>
                <w:sz w:val="20"/>
                <w:szCs w:val="22"/>
                <w:lang w:eastAsia="en-AU"/>
              </w:rPr>
              <w:t>2014-15</w:t>
            </w:r>
          </w:p>
        </w:tc>
        <w:tc>
          <w:tcPr>
            <w:tcW w:w="847" w:type="dxa"/>
            <w:tcBorders>
              <w:top w:val="nil"/>
              <w:left w:val="nil"/>
              <w:bottom w:val="nil"/>
              <w:right w:val="nil"/>
            </w:tcBorders>
            <w:shd w:val="solid" w:color="000000" w:fill="auto"/>
          </w:tcPr>
          <w:p w:rsidR="00DB2687" w:rsidRPr="002111D2" w:rsidRDefault="00DB2687" w:rsidP="002111D2">
            <w:pPr>
              <w:autoSpaceDE w:val="0"/>
              <w:autoSpaceDN w:val="0"/>
              <w:adjustRightInd w:val="0"/>
              <w:spacing w:after="0"/>
              <w:jc w:val="right"/>
              <w:rPr>
                <w:rFonts w:ascii="Calibri" w:eastAsiaTheme="minorEastAsia" w:hAnsi="Calibri" w:cs="Calibri"/>
                <w:i/>
                <w:iCs/>
                <w:color w:val="FFFFFF"/>
                <w:sz w:val="20"/>
                <w:szCs w:val="22"/>
                <w:lang w:eastAsia="en-AU"/>
              </w:rPr>
            </w:pPr>
            <w:r w:rsidRPr="002111D2">
              <w:rPr>
                <w:rFonts w:ascii="Calibri" w:eastAsiaTheme="minorEastAsia" w:hAnsi="Calibri" w:cs="Calibri"/>
                <w:i/>
                <w:iCs/>
                <w:color w:val="FFFFFF"/>
                <w:sz w:val="20"/>
                <w:szCs w:val="22"/>
                <w:lang w:eastAsia="en-AU"/>
              </w:rPr>
              <w:t>2015-16</w:t>
            </w:r>
          </w:p>
        </w:tc>
      </w:tr>
      <w:tr w:rsidR="00DB2687" w:rsidRPr="002111D2" w:rsidTr="00DB2687">
        <w:trPr>
          <w:cantSplit/>
          <w:tblHeader/>
        </w:trPr>
        <w:tc>
          <w:tcPr>
            <w:tcW w:w="5103" w:type="dxa"/>
            <w:tcBorders>
              <w:top w:val="nil"/>
              <w:left w:val="nil"/>
              <w:right w:val="nil"/>
            </w:tcBorders>
            <w:shd w:val="solid" w:color="000000" w:fill="auto"/>
          </w:tcPr>
          <w:p w:rsidR="00DB2687" w:rsidRPr="002111D2" w:rsidRDefault="00DB2687" w:rsidP="002111D2">
            <w:pPr>
              <w:autoSpaceDE w:val="0"/>
              <w:autoSpaceDN w:val="0"/>
              <w:adjustRightInd w:val="0"/>
              <w:spacing w:after="0"/>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w:t>
            </w:r>
          </w:p>
        </w:tc>
        <w:tc>
          <w:tcPr>
            <w:tcW w:w="709" w:type="dxa"/>
            <w:gridSpan w:val="3"/>
            <w:tcBorders>
              <w:top w:val="nil"/>
              <w:left w:val="nil"/>
              <w:right w:val="nil"/>
            </w:tcBorders>
            <w:shd w:val="solid" w:color="000000" w:fill="auto"/>
          </w:tcPr>
          <w:p w:rsidR="00DB2687" w:rsidRPr="002111D2" w:rsidRDefault="00DB2687" w:rsidP="002111D2">
            <w:pPr>
              <w:autoSpaceDE w:val="0"/>
              <w:autoSpaceDN w:val="0"/>
              <w:adjustRightInd w:val="0"/>
              <w:spacing w:after="0"/>
              <w:jc w:val="right"/>
              <w:rPr>
                <w:rFonts w:ascii="Calibri" w:eastAsiaTheme="minorEastAsia" w:hAnsi="Calibri" w:cs="Calibri"/>
                <w:i/>
                <w:iCs/>
                <w:color w:val="FFFFFF"/>
                <w:sz w:val="20"/>
                <w:szCs w:val="22"/>
                <w:lang w:eastAsia="en-AU"/>
              </w:rPr>
            </w:pPr>
            <w:r w:rsidRPr="002111D2">
              <w:rPr>
                <w:rFonts w:ascii="Calibri" w:eastAsiaTheme="minorEastAsia" w:hAnsi="Calibri" w:cs="Calibri"/>
                <w:i/>
                <w:iCs/>
                <w:color w:val="FFFFFF"/>
                <w:sz w:val="20"/>
                <w:szCs w:val="22"/>
                <w:lang w:eastAsia="en-AU"/>
              </w:rPr>
              <w:t>Sep</w:t>
            </w:r>
          </w:p>
        </w:tc>
        <w:tc>
          <w:tcPr>
            <w:tcW w:w="992" w:type="dxa"/>
            <w:tcBorders>
              <w:top w:val="nil"/>
              <w:left w:val="nil"/>
              <w:right w:val="nil"/>
            </w:tcBorders>
            <w:shd w:val="solid" w:color="000000" w:fill="auto"/>
          </w:tcPr>
          <w:p w:rsidR="00DB2687" w:rsidRPr="002111D2" w:rsidRDefault="00DB2687" w:rsidP="002111D2">
            <w:pPr>
              <w:autoSpaceDE w:val="0"/>
              <w:autoSpaceDN w:val="0"/>
              <w:adjustRightInd w:val="0"/>
              <w:spacing w:after="0"/>
              <w:jc w:val="right"/>
              <w:rPr>
                <w:rFonts w:ascii="Calibri" w:eastAsiaTheme="minorEastAsia" w:hAnsi="Calibri" w:cs="Calibri"/>
                <w:i/>
                <w:iCs/>
                <w:color w:val="FFFFFF"/>
                <w:sz w:val="20"/>
                <w:szCs w:val="22"/>
                <w:lang w:eastAsia="en-AU"/>
              </w:rPr>
            </w:pPr>
            <w:r w:rsidRPr="002111D2">
              <w:rPr>
                <w:rFonts w:ascii="Calibri" w:eastAsiaTheme="minorEastAsia" w:hAnsi="Calibri" w:cs="Calibri"/>
                <w:i/>
                <w:iCs/>
                <w:color w:val="FFFFFF"/>
                <w:sz w:val="20"/>
                <w:szCs w:val="22"/>
                <w:lang w:eastAsia="en-AU"/>
              </w:rPr>
              <w:t>Dec</w:t>
            </w:r>
          </w:p>
        </w:tc>
        <w:tc>
          <w:tcPr>
            <w:tcW w:w="993" w:type="dxa"/>
            <w:tcBorders>
              <w:top w:val="nil"/>
              <w:left w:val="nil"/>
              <w:right w:val="nil"/>
            </w:tcBorders>
            <w:shd w:val="solid" w:color="000000" w:fill="auto"/>
          </w:tcPr>
          <w:p w:rsidR="00DB2687" w:rsidRPr="002111D2" w:rsidRDefault="00DB2687" w:rsidP="002111D2">
            <w:pPr>
              <w:autoSpaceDE w:val="0"/>
              <w:autoSpaceDN w:val="0"/>
              <w:adjustRightInd w:val="0"/>
              <w:spacing w:after="0"/>
              <w:jc w:val="right"/>
              <w:rPr>
                <w:rFonts w:ascii="Calibri" w:eastAsiaTheme="minorEastAsia" w:hAnsi="Calibri" w:cs="Calibri"/>
                <w:i/>
                <w:iCs/>
                <w:color w:val="FFFFFF"/>
                <w:sz w:val="20"/>
                <w:szCs w:val="22"/>
                <w:lang w:eastAsia="en-AU"/>
              </w:rPr>
            </w:pPr>
            <w:r w:rsidRPr="002111D2">
              <w:rPr>
                <w:rFonts w:ascii="Calibri" w:eastAsiaTheme="minorEastAsia" w:hAnsi="Calibri" w:cs="Calibri"/>
                <w:i/>
                <w:iCs/>
                <w:color w:val="FFFFFF"/>
                <w:sz w:val="20"/>
                <w:szCs w:val="22"/>
                <w:lang w:eastAsia="en-AU"/>
              </w:rPr>
              <w:t>Mar</w:t>
            </w:r>
          </w:p>
        </w:tc>
        <w:tc>
          <w:tcPr>
            <w:tcW w:w="992" w:type="dxa"/>
            <w:tcBorders>
              <w:top w:val="nil"/>
              <w:left w:val="nil"/>
              <w:right w:val="nil"/>
            </w:tcBorders>
            <w:shd w:val="solid" w:color="000000" w:fill="auto"/>
          </w:tcPr>
          <w:p w:rsidR="00DB2687" w:rsidRPr="002111D2" w:rsidRDefault="00DB2687" w:rsidP="002111D2">
            <w:pPr>
              <w:autoSpaceDE w:val="0"/>
              <w:autoSpaceDN w:val="0"/>
              <w:adjustRightInd w:val="0"/>
              <w:spacing w:after="0"/>
              <w:jc w:val="right"/>
              <w:rPr>
                <w:rFonts w:ascii="Calibri" w:eastAsiaTheme="minorEastAsia" w:hAnsi="Calibri" w:cs="Calibri"/>
                <w:i/>
                <w:iCs/>
                <w:color w:val="FFFFFF"/>
                <w:sz w:val="20"/>
                <w:szCs w:val="22"/>
                <w:lang w:eastAsia="en-AU"/>
              </w:rPr>
            </w:pPr>
            <w:r w:rsidRPr="002111D2">
              <w:rPr>
                <w:rFonts w:ascii="Calibri" w:eastAsiaTheme="minorEastAsia" w:hAnsi="Calibri" w:cs="Calibri"/>
                <w:i/>
                <w:iCs/>
                <w:color w:val="FFFFFF"/>
                <w:sz w:val="20"/>
                <w:szCs w:val="22"/>
                <w:lang w:eastAsia="en-AU"/>
              </w:rPr>
              <w:t xml:space="preserve">Jun </w:t>
            </w:r>
          </w:p>
        </w:tc>
        <w:tc>
          <w:tcPr>
            <w:tcW w:w="847" w:type="dxa"/>
            <w:tcBorders>
              <w:top w:val="nil"/>
              <w:left w:val="nil"/>
              <w:right w:val="nil"/>
            </w:tcBorders>
            <w:shd w:val="solid" w:color="000000" w:fill="auto"/>
          </w:tcPr>
          <w:p w:rsidR="00DB2687" w:rsidRPr="002111D2" w:rsidRDefault="00DB2687" w:rsidP="002111D2">
            <w:pPr>
              <w:autoSpaceDE w:val="0"/>
              <w:autoSpaceDN w:val="0"/>
              <w:adjustRightInd w:val="0"/>
              <w:spacing w:after="0"/>
              <w:jc w:val="right"/>
              <w:rPr>
                <w:rFonts w:ascii="Calibri" w:eastAsiaTheme="minorEastAsia" w:hAnsi="Calibri" w:cs="Calibri"/>
                <w:i/>
                <w:iCs/>
                <w:color w:val="FFFFFF"/>
                <w:sz w:val="20"/>
                <w:szCs w:val="22"/>
                <w:lang w:eastAsia="en-AU"/>
              </w:rPr>
            </w:pPr>
            <w:r w:rsidRPr="002111D2">
              <w:rPr>
                <w:rFonts w:ascii="Calibri" w:eastAsiaTheme="minorEastAsia" w:hAnsi="Calibri" w:cs="Calibri"/>
                <w:i/>
                <w:iCs/>
                <w:color w:val="FFFFFF"/>
                <w:sz w:val="20"/>
                <w:szCs w:val="22"/>
                <w:lang w:eastAsia="en-AU"/>
              </w:rPr>
              <w:t>Sep</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Revenue from transactions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Taxation revenue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4 711</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4 054</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5 476</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4 098</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5 061</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Interest revenue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205</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200</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203</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219</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203</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Dividends and income tax equivalent and rate equivalent revenue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51</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616</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63</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383</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59</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Sales of goods and services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1 657</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1 676</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1 711</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1 439</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1 661</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Grant revenue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5 665</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6 057</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6 742</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6 039</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6 010</w:t>
            </w:r>
          </w:p>
        </w:tc>
      </w:tr>
      <w:tr w:rsidR="00DB2687" w:rsidRPr="002111D2" w:rsidTr="00DB2687">
        <w:trPr>
          <w:cantSplit/>
        </w:trPr>
        <w:tc>
          <w:tcPr>
            <w:tcW w:w="510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Other revenue</w:t>
            </w:r>
          </w:p>
        </w:tc>
        <w:tc>
          <w:tcPr>
            <w:tcW w:w="709" w:type="dxa"/>
            <w:gridSpan w:val="3"/>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566</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588</w:t>
            </w:r>
          </w:p>
        </w:tc>
        <w:tc>
          <w:tcPr>
            <w:tcW w:w="99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496</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857</w:t>
            </w:r>
          </w:p>
        </w:tc>
        <w:tc>
          <w:tcPr>
            <w:tcW w:w="847"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564</w:t>
            </w:r>
          </w:p>
        </w:tc>
      </w:tr>
      <w:tr w:rsidR="00DB2687" w:rsidRPr="002111D2" w:rsidTr="00DB2687">
        <w:trPr>
          <w:cantSplit/>
        </w:trPr>
        <w:tc>
          <w:tcPr>
            <w:tcW w:w="5103"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Total revenue from transactions</w:t>
            </w:r>
          </w:p>
        </w:tc>
        <w:tc>
          <w:tcPr>
            <w:tcW w:w="709" w:type="dxa"/>
            <w:gridSpan w:val="3"/>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12 855</w:t>
            </w:r>
          </w:p>
        </w:tc>
        <w:tc>
          <w:tcPr>
            <w:tcW w:w="992"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13 190</w:t>
            </w:r>
          </w:p>
        </w:tc>
        <w:tc>
          <w:tcPr>
            <w:tcW w:w="993"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14 692</w:t>
            </w:r>
          </w:p>
        </w:tc>
        <w:tc>
          <w:tcPr>
            <w:tcW w:w="992"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13 035</w:t>
            </w:r>
          </w:p>
        </w:tc>
        <w:tc>
          <w:tcPr>
            <w:tcW w:w="847"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13 559</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Expenses from transactions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Employee expenses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4 510</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4 809</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4 628</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4 887</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4 768</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Net superannuation interest expense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258</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254</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250</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276</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223</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Other superannuation</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484</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551</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483</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461</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554</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Depreciation</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597</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601</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612</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616</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605</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Interest expense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523</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525</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511</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543</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513</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Grant expense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2 003</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2 128</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2 646</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1 753</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2 172</w:t>
            </w:r>
          </w:p>
        </w:tc>
      </w:tr>
      <w:tr w:rsidR="00DB2687" w:rsidRPr="002111D2" w:rsidTr="00DB2687">
        <w:trPr>
          <w:cantSplit/>
        </w:trPr>
        <w:tc>
          <w:tcPr>
            <w:tcW w:w="510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Other operating expenses</w:t>
            </w:r>
          </w:p>
        </w:tc>
        <w:tc>
          <w:tcPr>
            <w:tcW w:w="709" w:type="dxa"/>
            <w:gridSpan w:val="3"/>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4 063</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4 277</w:t>
            </w:r>
          </w:p>
        </w:tc>
        <w:tc>
          <w:tcPr>
            <w:tcW w:w="99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4 154</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5 157</w:t>
            </w:r>
          </w:p>
        </w:tc>
        <w:tc>
          <w:tcPr>
            <w:tcW w:w="847"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4 204</w:t>
            </w:r>
          </w:p>
        </w:tc>
      </w:tr>
      <w:tr w:rsidR="00DB2687" w:rsidRPr="002111D2" w:rsidTr="00DB2687">
        <w:trPr>
          <w:cantSplit/>
        </w:trPr>
        <w:tc>
          <w:tcPr>
            <w:tcW w:w="5103"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Total expenses from transactions</w:t>
            </w:r>
          </w:p>
        </w:tc>
        <w:tc>
          <w:tcPr>
            <w:tcW w:w="709" w:type="dxa"/>
            <w:gridSpan w:val="3"/>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12 438</w:t>
            </w:r>
          </w:p>
        </w:tc>
        <w:tc>
          <w:tcPr>
            <w:tcW w:w="992"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13 144</w:t>
            </w:r>
          </w:p>
        </w:tc>
        <w:tc>
          <w:tcPr>
            <w:tcW w:w="993"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13 283</w:t>
            </w:r>
          </w:p>
        </w:tc>
        <w:tc>
          <w:tcPr>
            <w:tcW w:w="992"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13 693</w:t>
            </w:r>
          </w:p>
        </w:tc>
        <w:tc>
          <w:tcPr>
            <w:tcW w:w="847"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13 040</w:t>
            </w:r>
          </w:p>
        </w:tc>
      </w:tr>
      <w:tr w:rsidR="00DB2687" w:rsidRPr="002111D2" w:rsidTr="00DB2687">
        <w:trPr>
          <w:cantSplit/>
        </w:trPr>
        <w:tc>
          <w:tcPr>
            <w:tcW w:w="5103"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Net result from transactions – net operating balance</w:t>
            </w:r>
          </w:p>
        </w:tc>
        <w:tc>
          <w:tcPr>
            <w:tcW w:w="709" w:type="dxa"/>
            <w:gridSpan w:val="3"/>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417</w:t>
            </w:r>
          </w:p>
        </w:tc>
        <w:tc>
          <w:tcPr>
            <w:tcW w:w="992"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47</w:t>
            </w:r>
          </w:p>
        </w:tc>
        <w:tc>
          <w:tcPr>
            <w:tcW w:w="993"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1 409</w:t>
            </w:r>
          </w:p>
        </w:tc>
        <w:tc>
          <w:tcPr>
            <w:tcW w:w="992"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(658)</w:t>
            </w:r>
          </w:p>
        </w:tc>
        <w:tc>
          <w:tcPr>
            <w:tcW w:w="847"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519</w:t>
            </w:r>
          </w:p>
        </w:tc>
      </w:tr>
      <w:tr w:rsidR="00DB2687" w:rsidRPr="002111D2" w:rsidTr="00DB2687">
        <w:trPr>
          <w:cantSplit/>
        </w:trPr>
        <w:tc>
          <w:tcPr>
            <w:tcW w:w="5103"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Other economic flows included in net result</w:t>
            </w:r>
          </w:p>
        </w:tc>
        <w:tc>
          <w:tcPr>
            <w:tcW w:w="709" w:type="dxa"/>
            <w:gridSpan w:val="3"/>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3"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847"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Net gain/(loss) on disposal of non-financial assets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5</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21</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21</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(15)</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(13)</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Net gain/(loss) on financial assets or liabilities at fair value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19</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15</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46</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(28)</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(29)</w:t>
            </w:r>
          </w:p>
        </w:tc>
      </w:tr>
      <w:tr w:rsidR="00DB2687" w:rsidRPr="002111D2" w:rsidTr="00DB2687">
        <w:trPr>
          <w:cantSplit/>
        </w:trPr>
        <w:tc>
          <w:tcPr>
            <w:tcW w:w="5245" w:type="dxa"/>
            <w:gridSpan w:val="2"/>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Share of net profit/(loss) from associates/joint venture entities</w:t>
            </w:r>
          </w:p>
        </w:tc>
        <w:tc>
          <w:tcPr>
            <w:tcW w:w="567" w:type="dxa"/>
            <w:gridSpan w:val="2"/>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(3)</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w:t>
            </w:r>
          </w:p>
        </w:tc>
      </w:tr>
      <w:tr w:rsidR="00DB2687" w:rsidRPr="002111D2" w:rsidTr="00DB2687">
        <w:trPr>
          <w:cantSplit/>
        </w:trPr>
        <w:tc>
          <w:tcPr>
            <w:tcW w:w="510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Other gains/(losses) from other economic flows</w:t>
            </w:r>
          </w:p>
        </w:tc>
        <w:tc>
          <w:tcPr>
            <w:tcW w:w="709" w:type="dxa"/>
            <w:gridSpan w:val="3"/>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(90)</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(243)</w:t>
            </w:r>
          </w:p>
        </w:tc>
        <w:tc>
          <w:tcPr>
            <w:tcW w:w="99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(162)</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(53)</w:t>
            </w:r>
          </w:p>
        </w:tc>
        <w:tc>
          <w:tcPr>
            <w:tcW w:w="847"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(124)</w:t>
            </w:r>
          </w:p>
        </w:tc>
      </w:tr>
      <w:tr w:rsidR="00DB2687" w:rsidRPr="002111D2" w:rsidTr="00DB2687">
        <w:trPr>
          <w:cantSplit/>
        </w:trPr>
        <w:tc>
          <w:tcPr>
            <w:tcW w:w="5103"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Total other economic flows included in net result </w:t>
            </w:r>
          </w:p>
        </w:tc>
        <w:tc>
          <w:tcPr>
            <w:tcW w:w="709" w:type="dxa"/>
            <w:gridSpan w:val="3"/>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(66)</w:t>
            </w:r>
          </w:p>
        </w:tc>
        <w:tc>
          <w:tcPr>
            <w:tcW w:w="992"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(207)</w:t>
            </w:r>
          </w:p>
        </w:tc>
        <w:tc>
          <w:tcPr>
            <w:tcW w:w="993"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(94)</w:t>
            </w:r>
          </w:p>
        </w:tc>
        <w:tc>
          <w:tcPr>
            <w:tcW w:w="992"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(99)</w:t>
            </w:r>
          </w:p>
        </w:tc>
        <w:tc>
          <w:tcPr>
            <w:tcW w:w="847"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(166)</w:t>
            </w:r>
          </w:p>
        </w:tc>
      </w:tr>
      <w:tr w:rsidR="00DB2687" w:rsidRPr="002111D2" w:rsidTr="00DB2687">
        <w:trPr>
          <w:cantSplit/>
        </w:trPr>
        <w:tc>
          <w:tcPr>
            <w:tcW w:w="5103"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Net result</w:t>
            </w:r>
          </w:p>
        </w:tc>
        <w:tc>
          <w:tcPr>
            <w:tcW w:w="709" w:type="dxa"/>
            <w:gridSpan w:val="3"/>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351</w:t>
            </w:r>
          </w:p>
        </w:tc>
        <w:tc>
          <w:tcPr>
            <w:tcW w:w="992"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(160)</w:t>
            </w:r>
          </w:p>
        </w:tc>
        <w:tc>
          <w:tcPr>
            <w:tcW w:w="993"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1 315</w:t>
            </w:r>
          </w:p>
        </w:tc>
        <w:tc>
          <w:tcPr>
            <w:tcW w:w="992"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(757)</w:t>
            </w:r>
          </w:p>
        </w:tc>
        <w:tc>
          <w:tcPr>
            <w:tcW w:w="847"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353</w:t>
            </w:r>
          </w:p>
        </w:tc>
      </w:tr>
      <w:tr w:rsidR="00DB2687" w:rsidRPr="002111D2" w:rsidTr="00DB2687">
        <w:trPr>
          <w:cantSplit/>
        </w:trPr>
        <w:tc>
          <w:tcPr>
            <w:tcW w:w="5103"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Other economic flows – other comprehensive income</w:t>
            </w:r>
          </w:p>
        </w:tc>
        <w:tc>
          <w:tcPr>
            <w:tcW w:w="709" w:type="dxa"/>
            <w:gridSpan w:val="3"/>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3"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847" w:type="dxa"/>
            <w:tcBorders>
              <w:top w:val="single" w:sz="6" w:space="0" w:color="000000"/>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Items that will not be reclassified to net result</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Changes in non-financial assets revaluation surplus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22</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37</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(135)</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2 601</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32</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proofErr w:type="spellStart"/>
            <w:r w:rsidRPr="002111D2">
              <w:rPr>
                <w:rFonts w:ascii="Calibri" w:eastAsiaTheme="minorEastAsia" w:hAnsi="Calibri" w:cs="Calibri"/>
                <w:color w:val="000000"/>
                <w:sz w:val="20"/>
                <w:szCs w:val="22"/>
                <w:lang w:eastAsia="en-AU"/>
              </w:rPr>
              <w:t>Remeasurement</w:t>
            </w:r>
            <w:proofErr w:type="spellEnd"/>
            <w:r w:rsidRPr="002111D2">
              <w:rPr>
                <w:rFonts w:ascii="Calibri" w:eastAsiaTheme="minorEastAsia" w:hAnsi="Calibri" w:cs="Calibri"/>
                <w:color w:val="000000"/>
                <w:sz w:val="20"/>
                <w:szCs w:val="22"/>
                <w:lang w:eastAsia="en-AU"/>
              </w:rPr>
              <w:t xml:space="preserve"> of superannuation defined benefits plans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121</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(2 586)</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(1 971)</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4 987</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(1 934)</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Net gain/(loss) on equity investments in other sector entities at proportional share of the carrying amount of net assets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3</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4 223</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Other movements in equity</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14</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(21)</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(622)</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481</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Items that may be reclassified subsequently to net result</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r>
      <w:tr w:rsidR="00DB2687" w:rsidRPr="002111D2" w:rsidTr="00DB2687">
        <w:trPr>
          <w:cantSplit/>
        </w:trPr>
        <w:tc>
          <w:tcPr>
            <w:tcW w:w="510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Net gain/(loss) on financial assets at fair value</w:t>
            </w:r>
          </w:p>
        </w:tc>
        <w:tc>
          <w:tcPr>
            <w:tcW w:w="709" w:type="dxa"/>
            <w:gridSpan w:val="3"/>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(2)</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(32)</w:t>
            </w:r>
          </w:p>
        </w:tc>
        <w:tc>
          <w:tcPr>
            <w:tcW w:w="99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(12)</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2</w:t>
            </w:r>
          </w:p>
        </w:tc>
        <w:tc>
          <w:tcPr>
            <w:tcW w:w="847"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(3)</w:t>
            </w:r>
          </w:p>
        </w:tc>
      </w:tr>
      <w:tr w:rsidR="00DB2687" w:rsidRPr="002111D2" w:rsidTr="00DB2687">
        <w:trPr>
          <w:cantSplit/>
        </w:trPr>
        <w:tc>
          <w:tcPr>
            <w:tcW w:w="5245" w:type="dxa"/>
            <w:gridSpan w:val="2"/>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Total other economic flows – other comprehensive income</w:t>
            </w:r>
          </w:p>
        </w:tc>
        <w:tc>
          <w:tcPr>
            <w:tcW w:w="567" w:type="dxa"/>
            <w:gridSpan w:val="2"/>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155</w:t>
            </w:r>
          </w:p>
        </w:tc>
        <w:tc>
          <w:tcPr>
            <w:tcW w:w="992"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(2 599)</w:t>
            </w:r>
          </w:p>
        </w:tc>
        <w:tc>
          <w:tcPr>
            <w:tcW w:w="993"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(2 740)</w:t>
            </w:r>
          </w:p>
        </w:tc>
        <w:tc>
          <w:tcPr>
            <w:tcW w:w="992"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12 293</w:t>
            </w:r>
          </w:p>
        </w:tc>
        <w:tc>
          <w:tcPr>
            <w:tcW w:w="847" w:type="dxa"/>
            <w:tcBorders>
              <w:top w:val="single" w:sz="6" w:space="0" w:color="000000"/>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(1 903)</w:t>
            </w:r>
          </w:p>
        </w:tc>
      </w:tr>
      <w:tr w:rsidR="00DB2687" w:rsidRPr="002111D2" w:rsidTr="00DB2687">
        <w:trPr>
          <w:cantSplit/>
        </w:trPr>
        <w:tc>
          <w:tcPr>
            <w:tcW w:w="5103"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Comprehensive result – total change in net worth</w:t>
            </w:r>
          </w:p>
        </w:tc>
        <w:tc>
          <w:tcPr>
            <w:tcW w:w="709" w:type="dxa"/>
            <w:gridSpan w:val="3"/>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506</w:t>
            </w:r>
          </w:p>
        </w:tc>
        <w:tc>
          <w:tcPr>
            <w:tcW w:w="992"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(2 759)</w:t>
            </w:r>
          </w:p>
        </w:tc>
        <w:tc>
          <w:tcPr>
            <w:tcW w:w="993"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(1 426)</w:t>
            </w:r>
          </w:p>
        </w:tc>
        <w:tc>
          <w:tcPr>
            <w:tcW w:w="992"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11 536</w:t>
            </w:r>
          </w:p>
        </w:tc>
        <w:tc>
          <w:tcPr>
            <w:tcW w:w="847" w:type="dxa"/>
            <w:tcBorders>
              <w:top w:val="single" w:sz="6" w:space="0" w:color="000000"/>
              <w:left w:val="nil"/>
              <w:bottom w:val="single" w:sz="12"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(1 550)</w:t>
            </w:r>
          </w:p>
        </w:tc>
      </w:tr>
      <w:tr w:rsidR="00DB2687" w:rsidRPr="002111D2" w:rsidTr="00DB2687">
        <w:trPr>
          <w:cantSplit/>
          <w:trHeight w:hRule="exact" w:val="120"/>
        </w:trPr>
        <w:tc>
          <w:tcPr>
            <w:tcW w:w="5103"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w:t>
            </w:r>
          </w:p>
        </w:tc>
        <w:tc>
          <w:tcPr>
            <w:tcW w:w="709" w:type="dxa"/>
            <w:gridSpan w:val="3"/>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w:t>
            </w:r>
          </w:p>
        </w:tc>
        <w:tc>
          <w:tcPr>
            <w:tcW w:w="992"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w:t>
            </w:r>
          </w:p>
        </w:tc>
        <w:tc>
          <w:tcPr>
            <w:tcW w:w="993"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w:t>
            </w:r>
          </w:p>
        </w:tc>
        <w:tc>
          <w:tcPr>
            <w:tcW w:w="992"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w:t>
            </w:r>
          </w:p>
        </w:tc>
        <w:tc>
          <w:tcPr>
            <w:tcW w:w="847" w:type="dxa"/>
            <w:tcBorders>
              <w:top w:val="single" w:sz="12" w:space="0" w:color="000000"/>
              <w:left w:val="nil"/>
              <w:right w:val="nil"/>
            </w:tcBorders>
            <w:shd w:val="clear" w:color="auto" w:fill="FFFFFF"/>
          </w:tcPr>
          <w:p w:rsidR="00DB2687" w:rsidRPr="002111D2" w:rsidRDefault="00DB2687" w:rsidP="002111D2">
            <w:pPr>
              <w:autoSpaceDE w:val="0"/>
              <w:autoSpaceDN w:val="0"/>
              <w:adjustRightInd w:val="0"/>
              <w:spacing w:after="0"/>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KEY FISCAL AGGREGATES</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w:t>
            </w:r>
          </w:p>
        </w:tc>
      </w:tr>
      <w:tr w:rsidR="00DB2687" w:rsidRPr="002111D2" w:rsidTr="00DB2687">
        <w:trPr>
          <w:cantSplit/>
        </w:trPr>
        <w:tc>
          <w:tcPr>
            <w:tcW w:w="5103" w:type="dxa"/>
            <w:tcBorders>
              <w:top w:val="nil"/>
              <w:left w:val="nil"/>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Net operating balance</w:t>
            </w:r>
          </w:p>
        </w:tc>
        <w:tc>
          <w:tcPr>
            <w:tcW w:w="709" w:type="dxa"/>
            <w:gridSpan w:val="3"/>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417</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47</w:t>
            </w:r>
          </w:p>
        </w:tc>
        <w:tc>
          <w:tcPr>
            <w:tcW w:w="993"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1 409</w:t>
            </w:r>
          </w:p>
        </w:tc>
        <w:tc>
          <w:tcPr>
            <w:tcW w:w="992"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(658)</w:t>
            </w:r>
          </w:p>
        </w:tc>
        <w:tc>
          <w:tcPr>
            <w:tcW w:w="847" w:type="dxa"/>
            <w:tcBorders>
              <w:top w:val="nil"/>
              <w:left w:val="nil"/>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519</w:t>
            </w:r>
          </w:p>
        </w:tc>
      </w:tr>
      <w:tr w:rsidR="00DB2687" w:rsidRPr="002111D2" w:rsidTr="00DB2687">
        <w:trPr>
          <w:cantSplit/>
        </w:trPr>
        <w:tc>
          <w:tcPr>
            <w:tcW w:w="5387" w:type="dxa"/>
            <w:gridSpan w:val="3"/>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Less: Net acquisition of non-financial assets from transactions</w:t>
            </w:r>
          </w:p>
        </w:tc>
        <w:tc>
          <w:tcPr>
            <w:tcW w:w="425"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72</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373</w:t>
            </w:r>
          </w:p>
        </w:tc>
        <w:tc>
          <w:tcPr>
            <w:tcW w:w="993"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87</w:t>
            </w:r>
          </w:p>
        </w:tc>
        <w:tc>
          <w:tcPr>
            <w:tcW w:w="992"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Pr>
                <w:rFonts w:ascii="Calibri" w:eastAsiaTheme="minorEastAsia" w:hAnsi="Calibri" w:cs="Calibri"/>
                <w:color w:val="000000"/>
                <w:sz w:val="20"/>
                <w:szCs w:val="22"/>
                <w:lang w:eastAsia="en-AU"/>
              </w:rPr>
              <w:t>(240)</w:t>
            </w:r>
          </w:p>
        </w:tc>
        <w:tc>
          <w:tcPr>
            <w:tcW w:w="847" w:type="dxa"/>
            <w:tcBorders>
              <w:top w:val="nil"/>
              <w:left w:val="nil"/>
              <w:bottom w:val="single" w:sz="6" w:space="0" w:color="000000"/>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color w:val="000000"/>
                <w:sz w:val="20"/>
                <w:szCs w:val="22"/>
                <w:lang w:eastAsia="en-AU"/>
              </w:rPr>
            </w:pPr>
            <w:r w:rsidRPr="002111D2">
              <w:rPr>
                <w:rFonts w:ascii="Calibri" w:eastAsiaTheme="minorEastAsia" w:hAnsi="Calibri" w:cs="Calibri"/>
                <w:color w:val="000000"/>
                <w:sz w:val="20"/>
                <w:szCs w:val="22"/>
                <w:lang w:eastAsia="en-AU"/>
              </w:rPr>
              <w:t xml:space="preserve"> 72</w:t>
            </w:r>
          </w:p>
        </w:tc>
      </w:tr>
      <w:tr w:rsidR="00DB2687" w:rsidRPr="002111D2" w:rsidTr="00DB2687">
        <w:trPr>
          <w:cantSplit/>
        </w:trPr>
        <w:tc>
          <w:tcPr>
            <w:tcW w:w="5103" w:type="dxa"/>
            <w:tcBorders>
              <w:top w:val="single" w:sz="6" w:space="0" w:color="000000"/>
              <w:left w:val="nil"/>
              <w:bottom w:val="single" w:sz="12" w:space="0" w:color="auto"/>
              <w:right w:val="nil"/>
            </w:tcBorders>
            <w:shd w:val="clear" w:color="auto" w:fill="FFFFFF"/>
          </w:tcPr>
          <w:p w:rsidR="00DB2687" w:rsidRPr="002111D2" w:rsidRDefault="00DB2687" w:rsidP="002111D2">
            <w:pPr>
              <w:autoSpaceDE w:val="0"/>
              <w:autoSpaceDN w:val="0"/>
              <w:adjustRightInd w:val="0"/>
              <w:spacing w:after="0"/>
              <w:ind w:left="227" w:hanging="227"/>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Net lending/(borrowing)</w:t>
            </w:r>
          </w:p>
        </w:tc>
        <w:tc>
          <w:tcPr>
            <w:tcW w:w="709" w:type="dxa"/>
            <w:gridSpan w:val="3"/>
            <w:tcBorders>
              <w:top w:val="single" w:sz="6" w:space="0" w:color="000000"/>
              <w:left w:val="nil"/>
              <w:bottom w:val="single" w:sz="12" w:space="0" w:color="auto"/>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345</w:t>
            </w:r>
          </w:p>
        </w:tc>
        <w:tc>
          <w:tcPr>
            <w:tcW w:w="992" w:type="dxa"/>
            <w:tcBorders>
              <w:top w:val="single" w:sz="6" w:space="0" w:color="000000"/>
              <w:left w:val="nil"/>
              <w:bottom w:val="single" w:sz="12" w:space="0" w:color="auto"/>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(327)</w:t>
            </w:r>
          </w:p>
        </w:tc>
        <w:tc>
          <w:tcPr>
            <w:tcW w:w="993" w:type="dxa"/>
            <w:tcBorders>
              <w:top w:val="single" w:sz="6" w:space="0" w:color="000000"/>
              <w:left w:val="nil"/>
              <w:bottom w:val="single" w:sz="12" w:space="0" w:color="auto"/>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1 322</w:t>
            </w:r>
          </w:p>
        </w:tc>
        <w:tc>
          <w:tcPr>
            <w:tcW w:w="992" w:type="dxa"/>
            <w:tcBorders>
              <w:top w:val="single" w:sz="6" w:space="0" w:color="000000"/>
              <w:left w:val="nil"/>
              <w:bottom w:val="single" w:sz="12" w:space="0" w:color="auto"/>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Pr>
                <w:rFonts w:ascii="Calibri" w:eastAsiaTheme="minorEastAsia" w:hAnsi="Calibri" w:cs="Calibri"/>
                <w:b/>
                <w:bCs/>
                <w:color w:val="000000"/>
                <w:sz w:val="20"/>
                <w:szCs w:val="22"/>
                <w:lang w:eastAsia="en-AU"/>
              </w:rPr>
              <w:t>(418)</w:t>
            </w:r>
          </w:p>
        </w:tc>
        <w:tc>
          <w:tcPr>
            <w:tcW w:w="847" w:type="dxa"/>
            <w:tcBorders>
              <w:top w:val="single" w:sz="6" w:space="0" w:color="000000"/>
              <w:left w:val="nil"/>
              <w:bottom w:val="single" w:sz="12" w:space="0" w:color="auto"/>
              <w:right w:val="nil"/>
            </w:tcBorders>
            <w:shd w:val="clear" w:color="auto" w:fill="FFFFFF"/>
          </w:tcPr>
          <w:p w:rsidR="00DB2687" w:rsidRPr="002111D2" w:rsidRDefault="00DB2687" w:rsidP="002111D2">
            <w:pPr>
              <w:autoSpaceDE w:val="0"/>
              <w:autoSpaceDN w:val="0"/>
              <w:adjustRightInd w:val="0"/>
              <w:spacing w:after="0"/>
              <w:jc w:val="right"/>
              <w:rPr>
                <w:rFonts w:ascii="Calibri" w:eastAsiaTheme="minorEastAsia" w:hAnsi="Calibri" w:cs="Calibri"/>
                <w:b/>
                <w:bCs/>
                <w:color w:val="000000"/>
                <w:sz w:val="20"/>
                <w:szCs w:val="22"/>
                <w:lang w:eastAsia="en-AU"/>
              </w:rPr>
            </w:pPr>
            <w:r w:rsidRPr="002111D2">
              <w:rPr>
                <w:rFonts w:ascii="Calibri" w:eastAsiaTheme="minorEastAsia" w:hAnsi="Calibri" w:cs="Calibri"/>
                <w:b/>
                <w:bCs/>
                <w:color w:val="000000"/>
                <w:sz w:val="20"/>
                <w:szCs w:val="22"/>
                <w:lang w:eastAsia="en-AU"/>
              </w:rPr>
              <w:t xml:space="preserve"> 447</w:t>
            </w:r>
          </w:p>
        </w:tc>
      </w:tr>
      <w:tr w:rsidR="00DB2687" w:rsidRPr="002111D2" w:rsidTr="00DB2687">
        <w:trPr>
          <w:cantSplit/>
        </w:trPr>
        <w:tc>
          <w:tcPr>
            <w:tcW w:w="9636" w:type="dxa"/>
            <w:gridSpan w:val="8"/>
            <w:tcBorders>
              <w:top w:val="single" w:sz="12" w:space="0" w:color="auto"/>
              <w:left w:val="nil"/>
              <w:bottom w:val="nil"/>
              <w:right w:val="nil"/>
            </w:tcBorders>
            <w:shd w:val="clear" w:color="auto" w:fill="auto"/>
          </w:tcPr>
          <w:p w:rsidR="00DB2687" w:rsidRPr="002111D2" w:rsidRDefault="00DB2687" w:rsidP="002111D2">
            <w:pPr>
              <w:pStyle w:val="Notes"/>
              <w:rPr>
                <w:rFonts w:eastAsiaTheme="minorEastAsia"/>
                <w:lang w:eastAsia="en-AU"/>
              </w:rPr>
            </w:pPr>
          </w:p>
        </w:tc>
      </w:tr>
      <w:tr w:rsidR="00DB2687" w:rsidRPr="002111D2" w:rsidTr="00DB2687">
        <w:trPr>
          <w:cantSplit/>
        </w:trPr>
        <w:tc>
          <w:tcPr>
            <w:tcW w:w="9636" w:type="dxa"/>
            <w:gridSpan w:val="8"/>
            <w:tcBorders>
              <w:top w:val="nil"/>
              <w:left w:val="nil"/>
              <w:bottom w:val="nil"/>
              <w:right w:val="nil"/>
            </w:tcBorders>
          </w:tcPr>
          <w:p w:rsidR="00DB2687" w:rsidRPr="002111D2" w:rsidRDefault="00DB2687" w:rsidP="003A37A6">
            <w:pPr>
              <w:pStyle w:val="Notes"/>
              <w:rPr>
                <w:rFonts w:eastAsiaTheme="minorEastAsia" w:cs="Calibri"/>
                <w:iCs/>
                <w:color w:val="000000"/>
                <w:szCs w:val="22"/>
                <w:lang w:eastAsia="en-AU"/>
              </w:rPr>
            </w:pPr>
          </w:p>
        </w:tc>
      </w:tr>
    </w:tbl>
    <w:p w:rsidR="00DC3B33" w:rsidRPr="00DC3B33" w:rsidRDefault="00DC3B33" w:rsidP="003E7CD7">
      <w:pPr>
        <w:rPr>
          <w:rFonts w:ascii="Times New Roman" w:hAnsi="Times New Roman"/>
          <w:sz w:val="14"/>
          <w:lang w:eastAsia="en-AU"/>
        </w:rPr>
      </w:pPr>
    </w:p>
    <w:p w:rsidR="003E7CD7" w:rsidRDefault="003E7CD7">
      <w:r>
        <w:rPr>
          <w:b/>
        </w:rPr>
        <w:br w:type="page"/>
      </w:r>
    </w:p>
    <w:p w:rsidR="009A3756" w:rsidRDefault="009A3756" w:rsidP="006644EB">
      <w:pPr>
        <w:pStyle w:val="Heading2"/>
      </w:pPr>
      <w:bookmarkStart w:id="34" w:name="_Toc435107522"/>
      <w:r w:rsidRPr="009A3756">
        <w:lastRenderedPageBreak/>
        <w:t>Consolidated balance sheet as at the end of</w:t>
      </w:r>
      <w:r>
        <w:t xml:space="preserve"> the past five quarters</w:t>
      </w:r>
      <w:bookmarkEnd w:id="34"/>
    </w:p>
    <w:tbl>
      <w:tblPr>
        <w:tblW w:w="9637" w:type="dxa"/>
        <w:tblInd w:w="28" w:type="dxa"/>
        <w:tblLayout w:type="fixed"/>
        <w:tblCellMar>
          <w:left w:w="28" w:type="dxa"/>
          <w:right w:w="28" w:type="dxa"/>
        </w:tblCellMar>
        <w:tblLook w:val="0000" w:firstRow="0" w:lastRow="0" w:firstColumn="0" w:lastColumn="0" w:noHBand="0" w:noVBand="0"/>
      </w:tblPr>
      <w:tblGrid>
        <w:gridCol w:w="4532"/>
        <w:gridCol w:w="1136"/>
        <w:gridCol w:w="993"/>
        <w:gridCol w:w="992"/>
        <w:gridCol w:w="992"/>
        <w:gridCol w:w="992"/>
      </w:tblGrid>
      <w:tr w:rsidR="00DB2687" w:rsidRPr="00DC3B33" w:rsidTr="00DB2687">
        <w:trPr>
          <w:cantSplit/>
          <w:tblHeader/>
        </w:trPr>
        <w:tc>
          <w:tcPr>
            <w:tcW w:w="9637" w:type="dxa"/>
            <w:gridSpan w:val="6"/>
            <w:tcBorders>
              <w:top w:val="nil"/>
              <w:left w:val="nil"/>
              <w:bottom w:val="nil"/>
              <w:right w:val="nil"/>
            </w:tcBorders>
          </w:tcPr>
          <w:p w:rsidR="00DB2687" w:rsidRPr="00DC3B33" w:rsidRDefault="00DB2687" w:rsidP="00DC3B33">
            <w:pPr>
              <w:pStyle w:val="million"/>
              <w:rPr>
                <w:rFonts w:eastAsiaTheme="minorEastAsia"/>
                <w:lang w:eastAsia="en-AU"/>
              </w:rPr>
            </w:pPr>
            <w:r w:rsidRPr="00DC3B33">
              <w:rPr>
                <w:rFonts w:eastAsiaTheme="minorEastAsia"/>
                <w:lang w:eastAsia="en-AU"/>
              </w:rPr>
              <w:t>($ million)</w:t>
            </w:r>
          </w:p>
        </w:tc>
      </w:tr>
      <w:tr w:rsidR="00DB2687" w:rsidRPr="00DC3B33" w:rsidTr="00DB2687">
        <w:trPr>
          <w:cantSplit/>
          <w:tblHeader/>
        </w:trPr>
        <w:tc>
          <w:tcPr>
            <w:tcW w:w="4532" w:type="dxa"/>
            <w:tcBorders>
              <w:top w:val="nil"/>
              <w:left w:val="nil"/>
              <w:bottom w:val="nil"/>
              <w:right w:val="nil"/>
            </w:tcBorders>
            <w:shd w:val="solid" w:color="000000" w:fill="auto"/>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4113" w:type="dxa"/>
            <w:gridSpan w:val="4"/>
            <w:tcBorders>
              <w:top w:val="nil"/>
              <w:left w:val="nil"/>
              <w:bottom w:val="nil"/>
              <w:right w:val="nil"/>
            </w:tcBorders>
            <w:shd w:val="solid" w:color="000000" w:fill="auto"/>
          </w:tcPr>
          <w:p w:rsidR="00DB2687" w:rsidRPr="00DC3B33" w:rsidRDefault="00DB2687" w:rsidP="00DB2687">
            <w:pPr>
              <w:autoSpaceDE w:val="0"/>
              <w:autoSpaceDN w:val="0"/>
              <w:adjustRightInd w:val="0"/>
              <w:spacing w:after="0"/>
              <w:jc w:val="center"/>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2014-15</w:t>
            </w:r>
          </w:p>
        </w:tc>
        <w:tc>
          <w:tcPr>
            <w:tcW w:w="992" w:type="dxa"/>
            <w:tcBorders>
              <w:top w:val="nil"/>
              <w:left w:val="nil"/>
              <w:bottom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2015-16</w:t>
            </w:r>
          </w:p>
        </w:tc>
      </w:tr>
      <w:tr w:rsidR="00DB2687" w:rsidRPr="00DC3B33" w:rsidTr="00DB2687">
        <w:trPr>
          <w:cantSplit/>
          <w:tblHeader/>
        </w:trPr>
        <w:tc>
          <w:tcPr>
            <w:tcW w:w="4532" w:type="dxa"/>
            <w:tcBorders>
              <w:top w:val="nil"/>
              <w:left w:val="nil"/>
              <w:right w:val="nil"/>
            </w:tcBorders>
            <w:shd w:val="solid" w:color="000000" w:fill="auto"/>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1136"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Sep</w:t>
            </w:r>
          </w:p>
        </w:tc>
        <w:tc>
          <w:tcPr>
            <w:tcW w:w="993"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Dec</w:t>
            </w:r>
          </w:p>
        </w:tc>
        <w:tc>
          <w:tcPr>
            <w:tcW w:w="992"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Mar</w:t>
            </w:r>
          </w:p>
        </w:tc>
        <w:tc>
          <w:tcPr>
            <w:tcW w:w="992"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Jun</w:t>
            </w:r>
          </w:p>
        </w:tc>
        <w:tc>
          <w:tcPr>
            <w:tcW w:w="992"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Sep</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Assets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Financial assets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Cash and deposits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4 177</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4 171</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4 609</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4 282</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4 061</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Advances paid</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4 576</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4 578</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4 573</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4 572</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4 567</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Receivables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5 169</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5 001</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6 727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5 555</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5 897</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Investments, loans and placements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3 077</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3 351</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3 397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3 406</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3 440</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Investments accounted for using the equity method</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44</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45</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44</w:t>
            </w:r>
          </w:p>
        </w:tc>
      </w:tr>
      <w:tr w:rsidR="00DB2687" w:rsidRPr="00DC3B33" w:rsidTr="00DB2687">
        <w:trPr>
          <w:cantSplit/>
        </w:trPr>
        <w:tc>
          <w:tcPr>
            <w:tcW w:w="453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Investments in other sector entities</w:t>
            </w:r>
          </w:p>
        </w:tc>
        <w:tc>
          <w:tcPr>
            <w:tcW w:w="1136"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75 875</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76 170</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76 357</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82 181</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82 467</w:t>
            </w:r>
          </w:p>
        </w:tc>
      </w:tr>
      <w:tr w:rsidR="00DB2687" w:rsidRPr="00DC3B33" w:rsidTr="00DB2687">
        <w:trPr>
          <w:cantSplit/>
        </w:trPr>
        <w:tc>
          <w:tcPr>
            <w:tcW w:w="453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Total financial assets</w:t>
            </w:r>
          </w:p>
        </w:tc>
        <w:tc>
          <w:tcPr>
            <w:tcW w:w="1136"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92 918</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93 317</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95 711</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100 040</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100 477</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Non-financial assets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Inventories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154</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148</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147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144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146</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Non-financial assets held for sale</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147</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145</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130</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175</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169</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Land, buildings, infrastructure, plant and equipment</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105 037</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105 317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104 682</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107 586</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107 527</w:t>
            </w:r>
          </w:p>
        </w:tc>
      </w:tr>
      <w:tr w:rsidR="00DB2687" w:rsidRPr="00DC3B33" w:rsidTr="00DB2687">
        <w:trPr>
          <w:cantSplit/>
        </w:trPr>
        <w:tc>
          <w:tcPr>
            <w:tcW w:w="453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Other non-financial assets</w:t>
            </w:r>
          </w:p>
        </w:tc>
        <w:tc>
          <w:tcPr>
            <w:tcW w:w="1136"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1 384</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1 480</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1 325</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1 038</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1 215</w:t>
            </w:r>
          </w:p>
        </w:tc>
      </w:tr>
      <w:tr w:rsidR="00DB2687" w:rsidRPr="00DC3B33" w:rsidTr="00DB2687">
        <w:trPr>
          <w:cantSplit/>
        </w:trPr>
        <w:tc>
          <w:tcPr>
            <w:tcW w:w="453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Total non-financial assets</w:t>
            </w:r>
          </w:p>
        </w:tc>
        <w:tc>
          <w:tcPr>
            <w:tcW w:w="1136"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106 721</w:t>
            </w:r>
          </w:p>
        </w:tc>
        <w:tc>
          <w:tcPr>
            <w:tcW w:w="993"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107 091</w:t>
            </w:r>
          </w:p>
        </w:tc>
        <w:tc>
          <w:tcPr>
            <w:tcW w:w="99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106 284</w:t>
            </w:r>
          </w:p>
        </w:tc>
        <w:tc>
          <w:tcPr>
            <w:tcW w:w="99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108 944</w:t>
            </w:r>
          </w:p>
        </w:tc>
        <w:tc>
          <w:tcPr>
            <w:tcW w:w="99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109 057</w:t>
            </w:r>
          </w:p>
        </w:tc>
      </w:tr>
      <w:tr w:rsidR="00DB2687" w:rsidRPr="00DC3B33" w:rsidTr="00DB2687">
        <w:trPr>
          <w:cantSplit/>
        </w:trPr>
        <w:tc>
          <w:tcPr>
            <w:tcW w:w="453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Total assets</w:t>
            </w:r>
          </w:p>
        </w:tc>
        <w:tc>
          <w:tcPr>
            <w:tcW w:w="1136"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199 638</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200 408</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201 994</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208 985</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209 534</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Liabilities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Deposits held and advances received </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454</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424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529</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518</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471</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Payables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5 112</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5 813</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6 182</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5 704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5 355</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Borrowings </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32 847</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33 018</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33 286</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34 069</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34 597</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Employee benefits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5 463</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5 399</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5 601</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5 605</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5 675</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Superannuation</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26 181</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28 844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30 881</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25 947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27 885</w:t>
            </w:r>
          </w:p>
        </w:tc>
      </w:tr>
      <w:tr w:rsidR="00DB2687" w:rsidRPr="00DC3B33" w:rsidTr="00DB2687">
        <w:trPr>
          <w:cantSplit/>
        </w:trPr>
        <w:tc>
          <w:tcPr>
            <w:tcW w:w="453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Other provisions</w:t>
            </w:r>
          </w:p>
        </w:tc>
        <w:tc>
          <w:tcPr>
            <w:tcW w:w="1136"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598</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687</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717</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807</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754</w:t>
            </w:r>
          </w:p>
        </w:tc>
      </w:tr>
      <w:tr w:rsidR="00DB2687" w:rsidRPr="00DC3B33" w:rsidTr="00DB2687">
        <w:trPr>
          <w:cantSplit/>
        </w:trPr>
        <w:tc>
          <w:tcPr>
            <w:tcW w:w="453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Total liabilities</w:t>
            </w:r>
          </w:p>
        </w:tc>
        <w:tc>
          <w:tcPr>
            <w:tcW w:w="1136"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70 655</w:t>
            </w:r>
          </w:p>
        </w:tc>
        <w:tc>
          <w:tcPr>
            <w:tcW w:w="993"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74 184</w:t>
            </w:r>
          </w:p>
        </w:tc>
        <w:tc>
          <w:tcPr>
            <w:tcW w:w="99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77 196</w:t>
            </w:r>
          </w:p>
        </w:tc>
        <w:tc>
          <w:tcPr>
            <w:tcW w:w="99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72 650</w:t>
            </w:r>
          </w:p>
        </w:tc>
        <w:tc>
          <w:tcPr>
            <w:tcW w:w="99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74 738</w:t>
            </w:r>
          </w:p>
        </w:tc>
      </w:tr>
      <w:tr w:rsidR="00DB2687" w:rsidRPr="00DC3B33" w:rsidTr="00DB2687">
        <w:trPr>
          <w:cantSplit/>
        </w:trPr>
        <w:tc>
          <w:tcPr>
            <w:tcW w:w="453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Net assets</w:t>
            </w:r>
          </w:p>
        </w:tc>
        <w:tc>
          <w:tcPr>
            <w:tcW w:w="1136"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128 983</w:t>
            </w:r>
          </w:p>
        </w:tc>
        <w:tc>
          <w:tcPr>
            <w:tcW w:w="993"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126 224</w:t>
            </w:r>
          </w:p>
        </w:tc>
        <w:tc>
          <w:tcPr>
            <w:tcW w:w="99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124 798</w:t>
            </w:r>
          </w:p>
        </w:tc>
        <w:tc>
          <w:tcPr>
            <w:tcW w:w="99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136 335</w:t>
            </w:r>
          </w:p>
        </w:tc>
        <w:tc>
          <w:tcPr>
            <w:tcW w:w="99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134 796</w:t>
            </w:r>
          </w:p>
        </w:tc>
      </w:tr>
      <w:tr w:rsidR="00DB2687" w:rsidRPr="00DC3B33" w:rsidTr="00DB2687">
        <w:trPr>
          <w:cantSplit/>
        </w:trPr>
        <w:tc>
          <w:tcPr>
            <w:tcW w:w="453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Accumulated surplus/(deficit)</w:t>
            </w:r>
          </w:p>
        </w:tc>
        <w:tc>
          <w:tcPr>
            <w:tcW w:w="1136"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44 505</w:t>
            </w:r>
          </w:p>
        </w:tc>
        <w:tc>
          <w:tcPr>
            <w:tcW w:w="993"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41 722</w:t>
            </w:r>
          </w:p>
        </w:tc>
        <w:tc>
          <w:tcPr>
            <w:tcW w:w="99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41 078</w:t>
            </w:r>
          </w:p>
        </w:tc>
        <w:tc>
          <w:tcPr>
            <w:tcW w:w="99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45 788</w:t>
            </w:r>
          </w:p>
        </w:tc>
        <w:tc>
          <w:tcPr>
            <w:tcW w:w="99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44 237</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Reserves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84 428</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84 452</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83 670</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90 496</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90 509</w:t>
            </w:r>
          </w:p>
        </w:tc>
      </w:tr>
      <w:tr w:rsidR="00DB2687" w:rsidRPr="00DC3B33" w:rsidTr="00DB2687">
        <w:trPr>
          <w:cantSplit/>
        </w:trPr>
        <w:tc>
          <w:tcPr>
            <w:tcW w:w="453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Non-controlling interest</w:t>
            </w:r>
          </w:p>
        </w:tc>
        <w:tc>
          <w:tcPr>
            <w:tcW w:w="1136"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50</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50</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50</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50</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50</w:t>
            </w:r>
          </w:p>
        </w:tc>
      </w:tr>
      <w:tr w:rsidR="00DB2687" w:rsidRPr="00DC3B33" w:rsidTr="00DB2687">
        <w:trPr>
          <w:cantSplit/>
        </w:trPr>
        <w:tc>
          <w:tcPr>
            <w:tcW w:w="453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Net worth</w:t>
            </w:r>
          </w:p>
        </w:tc>
        <w:tc>
          <w:tcPr>
            <w:tcW w:w="1136"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128 983</w:t>
            </w:r>
          </w:p>
        </w:tc>
        <w:tc>
          <w:tcPr>
            <w:tcW w:w="993"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126 224</w:t>
            </w:r>
          </w:p>
        </w:tc>
        <w:tc>
          <w:tcPr>
            <w:tcW w:w="99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124 798</w:t>
            </w:r>
          </w:p>
        </w:tc>
        <w:tc>
          <w:tcPr>
            <w:tcW w:w="99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136 335</w:t>
            </w:r>
          </w:p>
        </w:tc>
        <w:tc>
          <w:tcPr>
            <w:tcW w:w="99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134 796</w:t>
            </w:r>
          </w:p>
        </w:tc>
      </w:tr>
      <w:tr w:rsidR="00DB2687" w:rsidRPr="00DC3B33" w:rsidTr="00DB2687">
        <w:trPr>
          <w:cantSplit/>
          <w:trHeight w:hRule="exact" w:val="120"/>
        </w:trPr>
        <w:tc>
          <w:tcPr>
            <w:tcW w:w="453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1136"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3"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FISCAL AGGREGATES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Net financial worth</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22 263</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19 133</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18 514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27 390</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25 739</w:t>
            </w:r>
          </w:p>
        </w:tc>
      </w:tr>
      <w:tr w:rsidR="00DB2687" w:rsidRPr="00DC3B33" w:rsidTr="00DB2687">
        <w:trPr>
          <w:cantSplit/>
        </w:trPr>
        <w:tc>
          <w:tcPr>
            <w:tcW w:w="4532"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Net financial liabilities</w:t>
            </w:r>
          </w:p>
        </w:tc>
        <w:tc>
          <w:tcPr>
            <w:tcW w:w="1136"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53 613</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57 037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57 843</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54 791</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56 728</w:t>
            </w:r>
          </w:p>
        </w:tc>
      </w:tr>
      <w:tr w:rsidR="00DB2687" w:rsidRPr="00DC3B33" w:rsidTr="00DB2687">
        <w:trPr>
          <w:cantSplit/>
        </w:trPr>
        <w:tc>
          <w:tcPr>
            <w:tcW w:w="4532" w:type="dxa"/>
            <w:tcBorders>
              <w:top w:val="nil"/>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Net debt</w:t>
            </w:r>
          </w:p>
        </w:tc>
        <w:tc>
          <w:tcPr>
            <w:tcW w:w="1136" w:type="dxa"/>
            <w:tcBorders>
              <w:top w:val="nil"/>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21 471</w:t>
            </w:r>
          </w:p>
        </w:tc>
        <w:tc>
          <w:tcPr>
            <w:tcW w:w="993" w:type="dxa"/>
            <w:tcBorders>
              <w:top w:val="nil"/>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21 343</w:t>
            </w:r>
          </w:p>
        </w:tc>
        <w:tc>
          <w:tcPr>
            <w:tcW w:w="992" w:type="dxa"/>
            <w:tcBorders>
              <w:top w:val="nil"/>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21 236</w:t>
            </w:r>
          </w:p>
        </w:tc>
        <w:tc>
          <w:tcPr>
            <w:tcW w:w="992" w:type="dxa"/>
            <w:tcBorders>
              <w:top w:val="nil"/>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22 327</w:t>
            </w:r>
          </w:p>
        </w:tc>
        <w:tc>
          <w:tcPr>
            <w:tcW w:w="992" w:type="dxa"/>
            <w:tcBorders>
              <w:top w:val="nil"/>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23 000</w:t>
            </w:r>
          </w:p>
        </w:tc>
      </w:tr>
    </w:tbl>
    <w:p w:rsidR="00283E0D" w:rsidRDefault="00283E0D" w:rsidP="00283E0D"/>
    <w:p w:rsidR="00DC3B33" w:rsidRDefault="007A767C" w:rsidP="00DC3B33">
      <w:pPr>
        <w:spacing w:after="0"/>
        <w:rPr>
          <w:rFonts w:ascii="Times New Roman" w:hAnsi="Times New Roman"/>
          <w:sz w:val="20"/>
          <w:lang w:eastAsia="en-AU"/>
        </w:rPr>
      </w:pPr>
      <w:r>
        <w:br w:type="page"/>
      </w:r>
    </w:p>
    <w:p w:rsidR="009A3756" w:rsidRDefault="009A3756" w:rsidP="006644EB">
      <w:pPr>
        <w:pStyle w:val="Heading2"/>
      </w:pPr>
      <w:bookmarkStart w:id="35" w:name="_Toc435107523"/>
      <w:r w:rsidRPr="009A3756">
        <w:lastRenderedPageBreak/>
        <w:t>Consolidated cash flow statement for</w:t>
      </w:r>
      <w:r>
        <w:t xml:space="preserve"> the past five quarters</w:t>
      </w:r>
      <w:bookmarkEnd w:id="35"/>
    </w:p>
    <w:tbl>
      <w:tblPr>
        <w:tblW w:w="9638" w:type="dxa"/>
        <w:tblInd w:w="28" w:type="dxa"/>
        <w:tblLayout w:type="fixed"/>
        <w:tblCellMar>
          <w:left w:w="28" w:type="dxa"/>
          <w:right w:w="28" w:type="dxa"/>
        </w:tblCellMar>
        <w:tblLook w:val="0000" w:firstRow="0" w:lastRow="0" w:firstColumn="0" w:lastColumn="0" w:noHBand="0" w:noVBand="0"/>
      </w:tblPr>
      <w:tblGrid>
        <w:gridCol w:w="4820"/>
        <w:gridCol w:w="283"/>
        <w:gridCol w:w="709"/>
        <w:gridCol w:w="992"/>
        <w:gridCol w:w="993"/>
        <w:gridCol w:w="992"/>
        <w:gridCol w:w="849"/>
      </w:tblGrid>
      <w:tr w:rsidR="00DB2687" w:rsidRPr="00DC3B33" w:rsidTr="00DB2687">
        <w:trPr>
          <w:cantSplit/>
          <w:tblHeader/>
        </w:trPr>
        <w:tc>
          <w:tcPr>
            <w:tcW w:w="9638" w:type="dxa"/>
            <w:gridSpan w:val="7"/>
            <w:tcBorders>
              <w:top w:val="nil"/>
              <w:left w:val="nil"/>
              <w:bottom w:val="nil"/>
              <w:right w:val="nil"/>
            </w:tcBorders>
          </w:tcPr>
          <w:p w:rsidR="00DB2687" w:rsidRPr="00DC3B33" w:rsidRDefault="00DB2687" w:rsidP="00DC3B33">
            <w:pPr>
              <w:pStyle w:val="million"/>
              <w:rPr>
                <w:rFonts w:eastAsiaTheme="minorEastAsia"/>
                <w:lang w:eastAsia="en-AU"/>
              </w:rPr>
            </w:pPr>
            <w:r w:rsidRPr="00DC3B33">
              <w:rPr>
                <w:rFonts w:eastAsiaTheme="minorEastAsia"/>
                <w:lang w:eastAsia="en-AU"/>
              </w:rPr>
              <w:t>($ million)</w:t>
            </w:r>
          </w:p>
        </w:tc>
      </w:tr>
      <w:tr w:rsidR="00DB2687" w:rsidRPr="00DC3B33" w:rsidTr="00DB2687">
        <w:trPr>
          <w:cantSplit/>
          <w:tblHeader/>
        </w:trPr>
        <w:tc>
          <w:tcPr>
            <w:tcW w:w="4820" w:type="dxa"/>
            <w:tcBorders>
              <w:top w:val="nil"/>
              <w:left w:val="nil"/>
              <w:bottom w:val="nil"/>
              <w:right w:val="nil"/>
            </w:tcBorders>
            <w:shd w:val="solid" w:color="000000" w:fill="auto"/>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3969" w:type="dxa"/>
            <w:gridSpan w:val="5"/>
            <w:tcBorders>
              <w:top w:val="nil"/>
              <w:left w:val="nil"/>
              <w:bottom w:val="nil"/>
              <w:right w:val="nil"/>
            </w:tcBorders>
            <w:shd w:val="solid" w:color="000000" w:fill="auto"/>
          </w:tcPr>
          <w:p w:rsidR="00DB2687" w:rsidRPr="00DC3B33" w:rsidRDefault="00DB2687" w:rsidP="00DB2687">
            <w:pPr>
              <w:autoSpaceDE w:val="0"/>
              <w:autoSpaceDN w:val="0"/>
              <w:adjustRightInd w:val="0"/>
              <w:spacing w:after="0"/>
              <w:jc w:val="center"/>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2014-15</w:t>
            </w:r>
          </w:p>
        </w:tc>
        <w:tc>
          <w:tcPr>
            <w:tcW w:w="849" w:type="dxa"/>
            <w:tcBorders>
              <w:top w:val="nil"/>
              <w:left w:val="nil"/>
              <w:bottom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2015-16</w:t>
            </w:r>
          </w:p>
        </w:tc>
      </w:tr>
      <w:tr w:rsidR="00DB2687" w:rsidRPr="00DC3B33" w:rsidTr="00DB2687">
        <w:trPr>
          <w:cantSplit/>
          <w:tblHeader/>
        </w:trPr>
        <w:tc>
          <w:tcPr>
            <w:tcW w:w="4820" w:type="dxa"/>
            <w:tcBorders>
              <w:top w:val="nil"/>
              <w:left w:val="nil"/>
              <w:right w:val="nil"/>
            </w:tcBorders>
            <w:shd w:val="solid" w:color="000000" w:fill="auto"/>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2" w:type="dxa"/>
            <w:gridSpan w:val="2"/>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Sep</w:t>
            </w:r>
          </w:p>
        </w:tc>
        <w:tc>
          <w:tcPr>
            <w:tcW w:w="992"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Dec</w:t>
            </w:r>
          </w:p>
        </w:tc>
        <w:tc>
          <w:tcPr>
            <w:tcW w:w="993"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Mar</w:t>
            </w:r>
          </w:p>
        </w:tc>
        <w:tc>
          <w:tcPr>
            <w:tcW w:w="992"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 xml:space="preserve">Jun </w:t>
            </w:r>
          </w:p>
        </w:tc>
        <w:tc>
          <w:tcPr>
            <w:tcW w:w="849" w:type="dxa"/>
            <w:tcBorders>
              <w:top w:val="nil"/>
              <w:left w:val="nil"/>
              <w:right w:val="nil"/>
            </w:tcBorders>
            <w:shd w:val="solid" w:color="000000" w:fill="auto"/>
          </w:tcPr>
          <w:p w:rsidR="00DB2687" w:rsidRPr="00DC3B33" w:rsidRDefault="00DB2687" w:rsidP="00DC3B33">
            <w:pPr>
              <w:autoSpaceDE w:val="0"/>
              <w:autoSpaceDN w:val="0"/>
              <w:adjustRightInd w:val="0"/>
              <w:spacing w:after="0"/>
              <w:jc w:val="right"/>
              <w:rPr>
                <w:rFonts w:ascii="Calibri" w:eastAsiaTheme="minorEastAsia" w:hAnsi="Calibri" w:cs="Calibri"/>
                <w:i/>
                <w:iCs/>
                <w:color w:val="FFFFFF"/>
                <w:sz w:val="21"/>
                <w:szCs w:val="22"/>
                <w:lang w:eastAsia="en-AU"/>
              </w:rPr>
            </w:pPr>
            <w:r w:rsidRPr="00DC3B33">
              <w:rPr>
                <w:rFonts w:ascii="Calibri" w:eastAsiaTheme="minorEastAsia" w:hAnsi="Calibri" w:cs="Calibri"/>
                <w:i/>
                <w:iCs/>
                <w:color w:val="FFFFFF"/>
                <w:sz w:val="21"/>
                <w:szCs w:val="22"/>
                <w:lang w:eastAsia="en-AU"/>
              </w:rPr>
              <w:t>Sep</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Cash flows from operating activities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Receipts </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Taxes received</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4 586</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4 781</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4 277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4 773</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4 887</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Grants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5 664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6 056</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6 698</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6 082</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6 008</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vertAlign w:val="superscript"/>
                <w:lang w:eastAsia="en-AU"/>
              </w:rPr>
            </w:pPr>
            <w:r w:rsidRPr="00DC3B33">
              <w:rPr>
                <w:rFonts w:ascii="Calibri" w:eastAsiaTheme="minorEastAsia" w:hAnsi="Calibri" w:cs="Calibri"/>
                <w:color w:val="000000"/>
                <w:sz w:val="21"/>
                <w:szCs w:val="22"/>
                <w:lang w:eastAsia="en-AU"/>
              </w:rPr>
              <w:t>Sales of goods and services</w:t>
            </w:r>
            <w:r w:rsidRPr="00DC3B33">
              <w:rPr>
                <w:rFonts w:ascii="Calibri" w:eastAsiaTheme="minorEastAsia" w:hAnsi="Calibri" w:cs="Calibri"/>
                <w:color w:val="000000"/>
                <w:sz w:val="21"/>
                <w:szCs w:val="22"/>
                <w:vertAlign w:val="superscript"/>
                <w:lang w:eastAsia="en-AU"/>
              </w:rPr>
              <w:t>(a)</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1 805</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2 105</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1 501</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1 591</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1 782</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Interest received </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194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191</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193</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235</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193</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Dividends and income tax equivalent and rate equivalent receipts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619</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71</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268</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49</w:t>
            </w:r>
          </w:p>
        </w:tc>
      </w:tr>
      <w:tr w:rsidR="00DB2687" w:rsidRPr="00DC3B33" w:rsidTr="00DB2687">
        <w:trPr>
          <w:cantSplit/>
        </w:trPr>
        <w:tc>
          <w:tcPr>
            <w:tcW w:w="4820"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Other receipts</w:t>
            </w:r>
          </w:p>
        </w:tc>
        <w:tc>
          <w:tcPr>
            <w:tcW w:w="992" w:type="dxa"/>
            <w:gridSpan w:val="2"/>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412</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592</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164</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816</w:t>
            </w:r>
          </w:p>
        </w:tc>
        <w:tc>
          <w:tcPr>
            <w:tcW w:w="849"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439</w:t>
            </w:r>
          </w:p>
        </w:tc>
      </w:tr>
      <w:tr w:rsidR="00DB2687" w:rsidRPr="00DC3B33" w:rsidTr="00DB2687">
        <w:trPr>
          <w:cantSplit/>
        </w:trPr>
        <w:tc>
          <w:tcPr>
            <w:tcW w:w="4820"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Total receipts</w:t>
            </w:r>
          </w:p>
        </w:tc>
        <w:tc>
          <w:tcPr>
            <w:tcW w:w="992" w:type="dxa"/>
            <w:gridSpan w:val="2"/>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12 718</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14 343</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12 902</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13 764</w:t>
            </w:r>
          </w:p>
        </w:tc>
        <w:tc>
          <w:tcPr>
            <w:tcW w:w="849"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13 359</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Payments </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Payments for employees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(4 313)</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(4 917)</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(4 482)</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(4 908)</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(4 730)</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Superannuation</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(692)</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(728)</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(667)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(684)</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(773)</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Interest paid</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(510)</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(510)</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(513)</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(529)</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(531)</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Grants and subsidies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(2 180)</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(2 136)</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(2 634)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(1 614)</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(2 185)</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Goods and services</w:t>
            </w:r>
            <w:r w:rsidRPr="00F12DC1">
              <w:rPr>
                <w:rFonts w:ascii="Calibri" w:eastAsiaTheme="minorEastAsia" w:hAnsi="Calibri" w:cs="Calibri"/>
                <w:color w:val="000000"/>
                <w:sz w:val="21"/>
                <w:szCs w:val="22"/>
                <w:vertAlign w:val="superscript"/>
                <w:lang w:eastAsia="en-AU"/>
              </w:rPr>
              <w:t>(a)</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(4 515)</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(4 425)</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(3 526)</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(4 370)</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(4 666)</w:t>
            </w:r>
          </w:p>
        </w:tc>
      </w:tr>
      <w:tr w:rsidR="00DB2687" w:rsidRPr="00DC3B33" w:rsidTr="00DB2687">
        <w:trPr>
          <w:cantSplit/>
        </w:trPr>
        <w:tc>
          <w:tcPr>
            <w:tcW w:w="4820"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Other payments</w:t>
            </w:r>
          </w:p>
        </w:tc>
        <w:tc>
          <w:tcPr>
            <w:tcW w:w="992" w:type="dxa"/>
            <w:gridSpan w:val="2"/>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(176)</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(163)</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(138)</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(581)</w:t>
            </w:r>
          </w:p>
        </w:tc>
        <w:tc>
          <w:tcPr>
            <w:tcW w:w="849"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(194)</w:t>
            </w:r>
          </w:p>
        </w:tc>
      </w:tr>
      <w:tr w:rsidR="00DB2687" w:rsidRPr="00DC3B33" w:rsidTr="00DB2687">
        <w:trPr>
          <w:cantSplit/>
        </w:trPr>
        <w:tc>
          <w:tcPr>
            <w:tcW w:w="4820"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Total payments</w:t>
            </w:r>
          </w:p>
        </w:tc>
        <w:tc>
          <w:tcPr>
            <w:tcW w:w="992" w:type="dxa"/>
            <w:gridSpan w:val="2"/>
            <w:tcBorders>
              <w:top w:val="single" w:sz="6" w:space="0" w:color="000000"/>
              <w:left w:val="nil"/>
              <w:bottom w:val="single" w:sz="6" w:space="0" w:color="000000"/>
              <w:right w:val="nil"/>
            </w:tcBorders>
            <w:shd w:val="clear" w:color="auto" w:fill="FFFFFF"/>
          </w:tcPr>
          <w:p w:rsidR="00DB2687" w:rsidRPr="00DC3B33" w:rsidRDefault="00DB2687" w:rsidP="003A37A6">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 xml:space="preserve">(12 </w:t>
            </w:r>
            <w:r w:rsidRPr="00DC3B33">
              <w:rPr>
                <w:rFonts w:ascii="Calibri" w:eastAsiaTheme="minorEastAsia" w:hAnsi="Calibri" w:cs="Calibri"/>
                <w:b/>
                <w:bCs/>
                <w:color w:val="000000"/>
                <w:sz w:val="21"/>
                <w:szCs w:val="22"/>
                <w:lang w:eastAsia="en-AU"/>
              </w:rPr>
              <w:t>386)</w:t>
            </w:r>
          </w:p>
        </w:tc>
        <w:tc>
          <w:tcPr>
            <w:tcW w:w="99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(12 879)</w:t>
            </w:r>
          </w:p>
        </w:tc>
        <w:tc>
          <w:tcPr>
            <w:tcW w:w="993"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(11 958)</w:t>
            </w:r>
          </w:p>
        </w:tc>
        <w:tc>
          <w:tcPr>
            <w:tcW w:w="992"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(12 686)</w:t>
            </w:r>
          </w:p>
        </w:tc>
        <w:tc>
          <w:tcPr>
            <w:tcW w:w="849" w:type="dxa"/>
            <w:tcBorders>
              <w:top w:val="single" w:sz="6" w:space="0" w:color="000000"/>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(13 078)</w:t>
            </w:r>
          </w:p>
        </w:tc>
      </w:tr>
      <w:tr w:rsidR="00DB2687" w:rsidRPr="00DC3B33" w:rsidTr="00DB2687">
        <w:trPr>
          <w:cantSplit/>
        </w:trPr>
        <w:tc>
          <w:tcPr>
            <w:tcW w:w="4820"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Net cash flows from operating activities</w:t>
            </w:r>
          </w:p>
        </w:tc>
        <w:tc>
          <w:tcPr>
            <w:tcW w:w="992" w:type="dxa"/>
            <w:gridSpan w:val="2"/>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332</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1 465</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944</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1 078</w:t>
            </w:r>
          </w:p>
        </w:tc>
        <w:tc>
          <w:tcPr>
            <w:tcW w:w="849"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280</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Cash flows from investing activities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Purchases of non-financial assets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(887)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(1 231)</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(869)</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(1 407)</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(948)</w:t>
            </w:r>
          </w:p>
        </w:tc>
      </w:tr>
      <w:tr w:rsidR="00DB2687" w:rsidRPr="00DC3B33" w:rsidTr="00DB2687">
        <w:trPr>
          <w:cantSplit/>
        </w:trPr>
        <w:tc>
          <w:tcPr>
            <w:tcW w:w="4820"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Sales of non-financial assets</w:t>
            </w:r>
          </w:p>
        </w:tc>
        <w:tc>
          <w:tcPr>
            <w:tcW w:w="992" w:type="dxa"/>
            <w:gridSpan w:val="2"/>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36</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86</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63</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213</w:t>
            </w:r>
          </w:p>
        </w:tc>
        <w:tc>
          <w:tcPr>
            <w:tcW w:w="849"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22</w:t>
            </w:r>
          </w:p>
        </w:tc>
      </w:tr>
      <w:tr w:rsidR="00DB2687" w:rsidRPr="00DC3B33" w:rsidTr="00DB2687">
        <w:trPr>
          <w:cantSplit/>
        </w:trPr>
        <w:tc>
          <w:tcPr>
            <w:tcW w:w="4820"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Cash flows from investments in non-financial assets</w:t>
            </w:r>
          </w:p>
        </w:tc>
        <w:tc>
          <w:tcPr>
            <w:tcW w:w="992" w:type="dxa"/>
            <w:gridSpan w:val="2"/>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(851)</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(1 145)</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(806)</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(1 194)</w:t>
            </w:r>
          </w:p>
        </w:tc>
        <w:tc>
          <w:tcPr>
            <w:tcW w:w="849"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(926)</w:t>
            </w:r>
          </w:p>
        </w:tc>
      </w:tr>
      <w:tr w:rsidR="00DB2687" w:rsidRPr="00DC3B33" w:rsidTr="00DB2687">
        <w:trPr>
          <w:cantSplit/>
        </w:trPr>
        <w:tc>
          <w:tcPr>
            <w:tcW w:w="4820"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Net cash flows from investments in financial assets for policy purposes</w:t>
            </w:r>
          </w:p>
        </w:tc>
        <w:tc>
          <w:tcPr>
            <w:tcW w:w="992" w:type="dxa"/>
            <w:gridSpan w:val="2"/>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208</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(164)</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(58)</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(845)</w:t>
            </w:r>
          </w:p>
        </w:tc>
        <w:tc>
          <w:tcPr>
            <w:tcW w:w="849"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18</w:t>
            </w:r>
          </w:p>
        </w:tc>
      </w:tr>
      <w:tr w:rsidR="00DB2687" w:rsidRPr="00DC3B33" w:rsidTr="00DB2687">
        <w:trPr>
          <w:cantSplit/>
        </w:trPr>
        <w:tc>
          <w:tcPr>
            <w:tcW w:w="4820"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Sub-total</w:t>
            </w:r>
          </w:p>
        </w:tc>
        <w:tc>
          <w:tcPr>
            <w:tcW w:w="992" w:type="dxa"/>
            <w:gridSpan w:val="2"/>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(643)</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(1 309)</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(864)</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(2 039)</w:t>
            </w:r>
          </w:p>
        </w:tc>
        <w:tc>
          <w:tcPr>
            <w:tcW w:w="849"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(908)</w:t>
            </w:r>
          </w:p>
        </w:tc>
      </w:tr>
      <w:tr w:rsidR="00DB2687" w:rsidRPr="00DC3B33" w:rsidTr="00DB2687">
        <w:trPr>
          <w:cantSplit/>
        </w:trPr>
        <w:tc>
          <w:tcPr>
            <w:tcW w:w="4820"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Net cash flows from investments in financial assets for liquidity management purposes</w:t>
            </w:r>
          </w:p>
        </w:tc>
        <w:tc>
          <w:tcPr>
            <w:tcW w:w="992" w:type="dxa"/>
            <w:gridSpan w:val="2"/>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(14)</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(302)</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(15)</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(39)</w:t>
            </w:r>
          </w:p>
        </w:tc>
        <w:tc>
          <w:tcPr>
            <w:tcW w:w="849"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(74)</w:t>
            </w:r>
          </w:p>
        </w:tc>
      </w:tr>
      <w:tr w:rsidR="00DB2687" w:rsidRPr="00DC3B33" w:rsidTr="00DB2687">
        <w:trPr>
          <w:cantSplit/>
        </w:trPr>
        <w:tc>
          <w:tcPr>
            <w:tcW w:w="4820"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Net cash flows from investment activities</w:t>
            </w:r>
          </w:p>
        </w:tc>
        <w:tc>
          <w:tcPr>
            <w:tcW w:w="992" w:type="dxa"/>
            <w:gridSpan w:val="2"/>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(657)</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(1 611)</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(879)</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(2 078)</w:t>
            </w:r>
          </w:p>
        </w:tc>
        <w:tc>
          <w:tcPr>
            <w:tcW w:w="849"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(982)</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Cash flows from financing activities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Advances received (net)</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Net borrowings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(108)</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171</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267</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684</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528</w:t>
            </w:r>
          </w:p>
        </w:tc>
      </w:tr>
      <w:tr w:rsidR="00DB2687" w:rsidRPr="00DC3B33" w:rsidTr="00DB2687">
        <w:trPr>
          <w:cantSplit/>
        </w:trPr>
        <w:tc>
          <w:tcPr>
            <w:tcW w:w="4820" w:type="dxa"/>
            <w:tcBorders>
              <w:top w:val="nil"/>
              <w:left w:val="nil"/>
              <w:bottom w:val="single" w:sz="4" w:space="0" w:color="auto"/>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Deposits received (net)</w:t>
            </w:r>
          </w:p>
        </w:tc>
        <w:tc>
          <w:tcPr>
            <w:tcW w:w="992" w:type="dxa"/>
            <w:gridSpan w:val="2"/>
            <w:tcBorders>
              <w:top w:val="nil"/>
              <w:left w:val="nil"/>
              <w:bottom w:val="single" w:sz="4" w:space="0" w:color="auto"/>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28</w:t>
            </w:r>
          </w:p>
        </w:tc>
        <w:tc>
          <w:tcPr>
            <w:tcW w:w="992" w:type="dxa"/>
            <w:tcBorders>
              <w:top w:val="nil"/>
              <w:left w:val="nil"/>
              <w:bottom w:val="single" w:sz="4" w:space="0" w:color="auto"/>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(31)</w:t>
            </w:r>
          </w:p>
        </w:tc>
        <w:tc>
          <w:tcPr>
            <w:tcW w:w="993" w:type="dxa"/>
            <w:tcBorders>
              <w:top w:val="nil"/>
              <w:left w:val="nil"/>
              <w:bottom w:val="single" w:sz="4" w:space="0" w:color="auto"/>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105</w:t>
            </w:r>
          </w:p>
        </w:tc>
        <w:tc>
          <w:tcPr>
            <w:tcW w:w="992" w:type="dxa"/>
            <w:tcBorders>
              <w:top w:val="nil"/>
              <w:left w:val="nil"/>
              <w:bottom w:val="single" w:sz="4" w:space="0" w:color="auto"/>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(10)</w:t>
            </w:r>
          </w:p>
        </w:tc>
        <w:tc>
          <w:tcPr>
            <w:tcW w:w="849" w:type="dxa"/>
            <w:tcBorders>
              <w:top w:val="nil"/>
              <w:left w:val="nil"/>
              <w:bottom w:val="single" w:sz="4" w:space="0" w:color="auto"/>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(47)</w:t>
            </w:r>
          </w:p>
        </w:tc>
      </w:tr>
      <w:tr w:rsidR="00DB2687" w:rsidRPr="00DC3B33" w:rsidTr="00DB2687">
        <w:trPr>
          <w:cantSplit/>
        </w:trPr>
        <w:tc>
          <w:tcPr>
            <w:tcW w:w="4820" w:type="dxa"/>
            <w:tcBorders>
              <w:top w:val="single" w:sz="4" w:space="0" w:color="auto"/>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Net cash flows from financing activities</w:t>
            </w:r>
          </w:p>
        </w:tc>
        <w:tc>
          <w:tcPr>
            <w:tcW w:w="992" w:type="dxa"/>
            <w:gridSpan w:val="2"/>
            <w:tcBorders>
              <w:top w:val="single" w:sz="4" w:space="0" w:color="auto"/>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(81)</w:t>
            </w:r>
          </w:p>
        </w:tc>
        <w:tc>
          <w:tcPr>
            <w:tcW w:w="992" w:type="dxa"/>
            <w:tcBorders>
              <w:top w:val="single" w:sz="4" w:space="0" w:color="auto"/>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140</w:t>
            </w:r>
          </w:p>
        </w:tc>
        <w:tc>
          <w:tcPr>
            <w:tcW w:w="993" w:type="dxa"/>
            <w:tcBorders>
              <w:top w:val="single" w:sz="4" w:space="0" w:color="auto"/>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372</w:t>
            </w:r>
          </w:p>
        </w:tc>
        <w:tc>
          <w:tcPr>
            <w:tcW w:w="992" w:type="dxa"/>
            <w:tcBorders>
              <w:top w:val="single" w:sz="4" w:space="0" w:color="auto"/>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673</w:t>
            </w:r>
          </w:p>
        </w:tc>
        <w:tc>
          <w:tcPr>
            <w:tcW w:w="849" w:type="dxa"/>
            <w:tcBorders>
              <w:top w:val="single" w:sz="4" w:space="0" w:color="auto"/>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481</w:t>
            </w:r>
          </w:p>
        </w:tc>
      </w:tr>
      <w:tr w:rsidR="00DB2687" w:rsidRPr="00DC3B33" w:rsidTr="00DB2687">
        <w:trPr>
          <w:cantSplit/>
        </w:trPr>
        <w:tc>
          <w:tcPr>
            <w:tcW w:w="4820"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Net increase/(decrease) in cash and cash equivalents </w:t>
            </w:r>
          </w:p>
        </w:tc>
        <w:tc>
          <w:tcPr>
            <w:tcW w:w="992" w:type="dxa"/>
            <w:gridSpan w:val="2"/>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(405)</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(6)</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438</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(327)</w:t>
            </w:r>
          </w:p>
        </w:tc>
        <w:tc>
          <w:tcPr>
            <w:tcW w:w="849"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(220)</w:t>
            </w:r>
          </w:p>
        </w:tc>
      </w:tr>
      <w:tr w:rsidR="00DB2687" w:rsidRPr="00DC3B33" w:rsidTr="00DB2687">
        <w:trPr>
          <w:cantSplit/>
        </w:trPr>
        <w:tc>
          <w:tcPr>
            <w:tcW w:w="5103" w:type="dxa"/>
            <w:gridSpan w:val="2"/>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Cash and cash equivalents at beginning of reporting period</w:t>
            </w:r>
          </w:p>
        </w:tc>
        <w:tc>
          <w:tcPr>
            <w:tcW w:w="709"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4 582</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4 177</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4 171</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4 609</w:t>
            </w:r>
          </w:p>
        </w:tc>
        <w:tc>
          <w:tcPr>
            <w:tcW w:w="849"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4 282</w:t>
            </w:r>
          </w:p>
        </w:tc>
      </w:tr>
      <w:tr w:rsidR="00DB2687" w:rsidRPr="00DC3B33" w:rsidTr="00DB2687">
        <w:trPr>
          <w:cantSplit/>
        </w:trPr>
        <w:tc>
          <w:tcPr>
            <w:tcW w:w="5103" w:type="dxa"/>
            <w:gridSpan w:val="2"/>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Cash and cash equivalents at end of the reporting period</w:t>
            </w:r>
          </w:p>
        </w:tc>
        <w:tc>
          <w:tcPr>
            <w:tcW w:w="709"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4 177</w:t>
            </w:r>
          </w:p>
        </w:tc>
        <w:tc>
          <w:tcPr>
            <w:tcW w:w="99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4 171</w:t>
            </w:r>
          </w:p>
        </w:tc>
        <w:tc>
          <w:tcPr>
            <w:tcW w:w="993"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4 609</w:t>
            </w:r>
          </w:p>
        </w:tc>
        <w:tc>
          <w:tcPr>
            <w:tcW w:w="992"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4 282</w:t>
            </w:r>
          </w:p>
        </w:tc>
        <w:tc>
          <w:tcPr>
            <w:tcW w:w="849" w:type="dxa"/>
            <w:tcBorders>
              <w:top w:val="single" w:sz="6" w:space="0" w:color="000000"/>
              <w:left w:val="nil"/>
              <w:bottom w:val="single" w:sz="12"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4 061</w:t>
            </w:r>
          </w:p>
        </w:tc>
      </w:tr>
      <w:tr w:rsidR="00DB2687" w:rsidRPr="00DC3B33" w:rsidTr="00DB2687">
        <w:trPr>
          <w:cantSplit/>
          <w:trHeight w:hRule="exact" w:val="120"/>
        </w:trPr>
        <w:tc>
          <w:tcPr>
            <w:tcW w:w="4820"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2" w:type="dxa"/>
            <w:gridSpan w:val="2"/>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3"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992"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c>
          <w:tcPr>
            <w:tcW w:w="849" w:type="dxa"/>
            <w:tcBorders>
              <w:top w:val="single" w:sz="12" w:space="0" w:color="000000"/>
              <w:left w:val="nil"/>
              <w:right w:val="nil"/>
            </w:tcBorders>
            <w:shd w:val="clear" w:color="auto" w:fill="FFFFFF"/>
          </w:tcPr>
          <w:p w:rsidR="00DB2687" w:rsidRPr="00DC3B33" w:rsidRDefault="00DB2687" w:rsidP="00DC3B33">
            <w:pPr>
              <w:autoSpaceDE w:val="0"/>
              <w:autoSpaceDN w:val="0"/>
              <w:adjustRightInd w:val="0"/>
              <w:spacing w:after="0"/>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FISCAL AGGREGATES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w:t>
            </w:r>
          </w:p>
        </w:tc>
      </w:tr>
      <w:tr w:rsidR="00DB2687" w:rsidRPr="00DC3B33" w:rsidTr="00DB2687">
        <w:trPr>
          <w:cantSplit/>
        </w:trPr>
        <w:tc>
          <w:tcPr>
            <w:tcW w:w="4820" w:type="dxa"/>
            <w:tcBorders>
              <w:top w:val="nil"/>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Net cash flows from operating activities</w:t>
            </w:r>
          </w:p>
        </w:tc>
        <w:tc>
          <w:tcPr>
            <w:tcW w:w="992" w:type="dxa"/>
            <w:gridSpan w:val="2"/>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332</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1 465</w:t>
            </w:r>
          </w:p>
        </w:tc>
        <w:tc>
          <w:tcPr>
            <w:tcW w:w="993"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944</w:t>
            </w:r>
          </w:p>
        </w:tc>
        <w:tc>
          <w:tcPr>
            <w:tcW w:w="992"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1 078</w:t>
            </w:r>
          </w:p>
        </w:tc>
        <w:tc>
          <w:tcPr>
            <w:tcW w:w="849" w:type="dxa"/>
            <w:tcBorders>
              <w:top w:val="nil"/>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280</w:t>
            </w:r>
          </w:p>
        </w:tc>
      </w:tr>
      <w:tr w:rsidR="00DB2687" w:rsidRPr="00DC3B33" w:rsidTr="00DB2687">
        <w:trPr>
          <w:cantSplit/>
        </w:trPr>
        <w:tc>
          <w:tcPr>
            <w:tcW w:w="4820"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Net cash flows from investments in non-financial assets</w:t>
            </w:r>
          </w:p>
        </w:tc>
        <w:tc>
          <w:tcPr>
            <w:tcW w:w="992" w:type="dxa"/>
            <w:gridSpan w:val="2"/>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(851)</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(1 145)</w:t>
            </w:r>
          </w:p>
        </w:tc>
        <w:tc>
          <w:tcPr>
            <w:tcW w:w="993"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(806)</w:t>
            </w:r>
          </w:p>
        </w:tc>
        <w:tc>
          <w:tcPr>
            <w:tcW w:w="992"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sidRPr="00DC3B33">
              <w:rPr>
                <w:rFonts w:ascii="Calibri" w:eastAsiaTheme="minorEastAsia" w:hAnsi="Calibri" w:cs="Calibri"/>
                <w:color w:val="000000"/>
                <w:sz w:val="21"/>
                <w:szCs w:val="22"/>
                <w:lang w:eastAsia="en-AU"/>
              </w:rPr>
              <w:t xml:space="preserve"> (1 194)</w:t>
            </w:r>
          </w:p>
        </w:tc>
        <w:tc>
          <w:tcPr>
            <w:tcW w:w="849" w:type="dxa"/>
            <w:tcBorders>
              <w:top w:val="nil"/>
              <w:left w:val="nil"/>
              <w:bottom w:val="single" w:sz="6" w:space="0" w:color="000000"/>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color w:val="000000"/>
                <w:sz w:val="21"/>
                <w:szCs w:val="22"/>
                <w:lang w:eastAsia="en-AU"/>
              </w:rPr>
            </w:pPr>
            <w:r>
              <w:rPr>
                <w:rFonts w:ascii="Calibri" w:eastAsiaTheme="minorEastAsia" w:hAnsi="Calibri" w:cs="Calibri"/>
                <w:color w:val="000000"/>
                <w:sz w:val="21"/>
                <w:szCs w:val="22"/>
                <w:lang w:eastAsia="en-AU"/>
              </w:rPr>
              <w:t>(926)</w:t>
            </w:r>
          </w:p>
        </w:tc>
      </w:tr>
      <w:tr w:rsidR="00DB2687" w:rsidRPr="00DC3B33" w:rsidTr="00DB2687">
        <w:trPr>
          <w:cantSplit/>
        </w:trPr>
        <w:tc>
          <w:tcPr>
            <w:tcW w:w="4820"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ind w:left="227" w:hanging="227"/>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Cash surplus/(deficit)</w:t>
            </w:r>
          </w:p>
        </w:tc>
        <w:tc>
          <w:tcPr>
            <w:tcW w:w="992" w:type="dxa"/>
            <w:gridSpan w:val="2"/>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(519)</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320</w:t>
            </w:r>
          </w:p>
        </w:tc>
        <w:tc>
          <w:tcPr>
            <w:tcW w:w="993"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sidRPr="00DC3B33">
              <w:rPr>
                <w:rFonts w:ascii="Calibri" w:eastAsiaTheme="minorEastAsia" w:hAnsi="Calibri" w:cs="Calibri"/>
                <w:b/>
                <w:bCs/>
                <w:color w:val="000000"/>
                <w:sz w:val="21"/>
                <w:szCs w:val="22"/>
                <w:lang w:eastAsia="en-AU"/>
              </w:rPr>
              <w:t xml:space="preserve"> 138</w:t>
            </w:r>
          </w:p>
        </w:tc>
        <w:tc>
          <w:tcPr>
            <w:tcW w:w="992"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(116)</w:t>
            </w:r>
          </w:p>
        </w:tc>
        <w:tc>
          <w:tcPr>
            <w:tcW w:w="849" w:type="dxa"/>
            <w:tcBorders>
              <w:top w:val="single" w:sz="6" w:space="0" w:color="000000"/>
              <w:left w:val="nil"/>
              <w:right w:val="nil"/>
            </w:tcBorders>
            <w:shd w:val="clear" w:color="auto" w:fill="FFFFFF"/>
          </w:tcPr>
          <w:p w:rsidR="00DB2687" w:rsidRPr="00DC3B33" w:rsidRDefault="00DB2687" w:rsidP="00DC3B33">
            <w:pPr>
              <w:autoSpaceDE w:val="0"/>
              <w:autoSpaceDN w:val="0"/>
              <w:adjustRightInd w:val="0"/>
              <w:spacing w:after="0"/>
              <w:jc w:val="right"/>
              <w:rPr>
                <w:rFonts w:ascii="Calibri" w:eastAsiaTheme="minorEastAsia" w:hAnsi="Calibri" w:cs="Calibri"/>
                <w:b/>
                <w:bCs/>
                <w:color w:val="000000"/>
                <w:sz w:val="21"/>
                <w:szCs w:val="22"/>
                <w:lang w:eastAsia="en-AU"/>
              </w:rPr>
            </w:pPr>
            <w:r>
              <w:rPr>
                <w:rFonts w:ascii="Calibri" w:eastAsiaTheme="minorEastAsia" w:hAnsi="Calibri" w:cs="Calibri"/>
                <w:b/>
                <w:bCs/>
                <w:color w:val="000000"/>
                <w:sz w:val="21"/>
                <w:szCs w:val="22"/>
                <w:lang w:eastAsia="en-AU"/>
              </w:rPr>
              <w:t>(646)</w:t>
            </w:r>
          </w:p>
        </w:tc>
      </w:tr>
      <w:tr w:rsidR="00DB2687" w:rsidRPr="00DC3B33" w:rsidTr="00DB2687">
        <w:trPr>
          <w:cantSplit/>
        </w:trPr>
        <w:tc>
          <w:tcPr>
            <w:tcW w:w="9638" w:type="dxa"/>
            <w:gridSpan w:val="7"/>
            <w:tcBorders>
              <w:top w:val="single" w:sz="12" w:space="0" w:color="auto"/>
              <w:left w:val="nil"/>
              <w:bottom w:val="nil"/>
              <w:right w:val="nil"/>
            </w:tcBorders>
            <w:shd w:val="clear" w:color="auto" w:fill="auto"/>
          </w:tcPr>
          <w:p w:rsidR="00DB2687" w:rsidRPr="00DC3B33" w:rsidRDefault="00DB2687" w:rsidP="00DC3B33">
            <w:pPr>
              <w:pStyle w:val="Notes"/>
              <w:rPr>
                <w:rFonts w:eastAsiaTheme="minorEastAsia"/>
                <w:lang w:eastAsia="en-AU"/>
              </w:rPr>
            </w:pPr>
            <w:r w:rsidRPr="00DC3B33">
              <w:rPr>
                <w:rFonts w:eastAsiaTheme="minorEastAsia"/>
                <w:lang w:eastAsia="en-AU"/>
              </w:rPr>
              <w:t>Note:</w:t>
            </w:r>
          </w:p>
        </w:tc>
      </w:tr>
      <w:tr w:rsidR="00DB2687" w:rsidRPr="00DC3B33" w:rsidTr="00DB2687">
        <w:trPr>
          <w:cantSplit/>
        </w:trPr>
        <w:tc>
          <w:tcPr>
            <w:tcW w:w="9638" w:type="dxa"/>
            <w:gridSpan w:val="7"/>
            <w:tcBorders>
              <w:top w:val="nil"/>
              <w:left w:val="nil"/>
              <w:bottom w:val="nil"/>
              <w:right w:val="nil"/>
            </w:tcBorders>
          </w:tcPr>
          <w:p w:rsidR="00DB2687" w:rsidRPr="00DC3B33" w:rsidRDefault="00DB2687" w:rsidP="00DC3B33">
            <w:pPr>
              <w:pStyle w:val="Notes"/>
              <w:rPr>
                <w:rFonts w:eastAsiaTheme="minorEastAsia"/>
                <w:lang w:eastAsia="en-AU"/>
              </w:rPr>
            </w:pPr>
            <w:r>
              <w:rPr>
                <w:rFonts w:eastAsiaTheme="minorEastAsia"/>
                <w:lang w:eastAsia="en-AU"/>
              </w:rPr>
              <w:t>(a)</w:t>
            </w:r>
            <w:r>
              <w:rPr>
                <w:rFonts w:eastAsiaTheme="minorEastAsia"/>
                <w:lang w:eastAsia="en-AU"/>
              </w:rPr>
              <w:tab/>
              <w:t>These items are inclusive of goods and services tax.</w:t>
            </w:r>
          </w:p>
        </w:tc>
      </w:tr>
    </w:tbl>
    <w:p w:rsidR="00DC3B33" w:rsidRDefault="00DC3B33" w:rsidP="00DC3B33">
      <w:pPr>
        <w:spacing w:after="0"/>
      </w:pPr>
    </w:p>
    <w:p w:rsidR="007444E7" w:rsidRDefault="007444E7">
      <w:pPr>
        <w:spacing w:after="0"/>
      </w:pPr>
    </w:p>
    <w:p w:rsidR="000679D5" w:rsidRDefault="000679D5">
      <w:pPr>
        <w:spacing w:after="0"/>
      </w:pPr>
      <w:r>
        <w:br w:type="page"/>
      </w:r>
    </w:p>
    <w:p w:rsidR="000679D5" w:rsidRPr="0050132E" w:rsidRDefault="000679D5" w:rsidP="000679D5">
      <w:pPr>
        <w:pStyle w:val="Heading1"/>
      </w:pPr>
      <w:bookmarkStart w:id="36" w:name="_Toc371927806"/>
      <w:bookmarkStart w:id="37" w:name="_Toc435107524"/>
      <w:r w:rsidRPr="0050132E">
        <w:lastRenderedPageBreak/>
        <w:t>Style conventions</w:t>
      </w:r>
      <w:bookmarkEnd w:id="36"/>
      <w:bookmarkEnd w:id="37"/>
    </w:p>
    <w:p w:rsidR="000679D5" w:rsidRPr="0050132E" w:rsidRDefault="000679D5" w:rsidP="000679D5">
      <w:r w:rsidRPr="0050132E">
        <w:t>Figures in the tables and in the text have been rounded. Discrepancies in tables between totals and sums of components reflect rounding. Percentage changes in all tables are based on the underlying unrounded amounts.</w:t>
      </w:r>
    </w:p>
    <w:p w:rsidR="000679D5" w:rsidRPr="0050132E" w:rsidRDefault="000679D5" w:rsidP="000679D5">
      <w:r w:rsidRPr="0050132E">
        <w:t>The notation used in the tables is as follows:</w:t>
      </w:r>
    </w:p>
    <w:p w:rsidR="000679D5" w:rsidRPr="0050132E" w:rsidRDefault="000679D5" w:rsidP="000679D5">
      <w:pPr>
        <w:pStyle w:val="NormalIndent"/>
        <w:tabs>
          <w:tab w:val="left" w:pos="1985"/>
        </w:tabs>
      </w:pPr>
      <w:proofErr w:type="spellStart"/>
      <w:r w:rsidRPr="0050132E">
        <w:t>n.a</w:t>
      </w:r>
      <w:proofErr w:type="spellEnd"/>
      <w:r w:rsidRPr="0050132E">
        <w:t xml:space="preserve">. or </w:t>
      </w:r>
      <w:proofErr w:type="spellStart"/>
      <w:r w:rsidRPr="0050132E">
        <w:t>na</w:t>
      </w:r>
      <w:proofErr w:type="spellEnd"/>
      <w:r w:rsidRPr="0050132E">
        <w:tab/>
        <w:t>not available or not applicable</w:t>
      </w:r>
    </w:p>
    <w:p w:rsidR="000679D5" w:rsidRPr="0050132E" w:rsidRDefault="000679D5" w:rsidP="000679D5">
      <w:pPr>
        <w:pStyle w:val="NormalIndent"/>
        <w:tabs>
          <w:tab w:val="left" w:pos="1985"/>
        </w:tabs>
      </w:pPr>
      <w:r w:rsidRPr="0050132E">
        <w:t>1 billion</w:t>
      </w:r>
      <w:r w:rsidRPr="0050132E">
        <w:tab/>
        <w:t>1 000 million</w:t>
      </w:r>
    </w:p>
    <w:p w:rsidR="000679D5" w:rsidRPr="0050132E" w:rsidRDefault="000679D5" w:rsidP="000679D5">
      <w:pPr>
        <w:pStyle w:val="NormalIndent"/>
        <w:tabs>
          <w:tab w:val="left" w:pos="1985"/>
        </w:tabs>
      </w:pPr>
      <w:r w:rsidRPr="0050132E">
        <w:t>1 basis point</w:t>
      </w:r>
      <w:r w:rsidRPr="0050132E">
        <w:tab/>
        <w:t>0.01 per cent</w:t>
      </w:r>
    </w:p>
    <w:p w:rsidR="000679D5" w:rsidRPr="0050132E" w:rsidRDefault="000679D5" w:rsidP="000679D5">
      <w:pPr>
        <w:pStyle w:val="NormalIndent"/>
        <w:tabs>
          <w:tab w:val="left" w:pos="1985"/>
        </w:tabs>
      </w:pPr>
      <w:r w:rsidRPr="0050132E">
        <w:t>..</w:t>
      </w:r>
      <w:r w:rsidRPr="0050132E">
        <w:tab/>
        <w:t>zero, or rounded to zero</w:t>
      </w:r>
    </w:p>
    <w:p w:rsidR="000679D5" w:rsidRPr="0050132E" w:rsidRDefault="000679D5" w:rsidP="000679D5">
      <w:pPr>
        <w:pStyle w:val="NormalIndent"/>
        <w:tabs>
          <w:tab w:val="left" w:pos="1985"/>
        </w:tabs>
      </w:pPr>
      <w:r w:rsidRPr="0050132E">
        <w:t>(</w:t>
      </w:r>
      <w:proofErr w:type="spellStart"/>
      <w:r w:rsidRPr="0050132E">
        <w:t>xxx.x</w:t>
      </w:r>
      <w:proofErr w:type="spellEnd"/>
      <w:r w:rsidRPr="0050132E">
        <w:t>)</w:t>
      </w:r>
      <w:r w:rsidRPr="0050132E">
        <w:tab/>
        <w:t xml:space="preserve">negative numbers </w:t>
      </w:r>
    </w:p>
    <w:p w:rsidR="00283E0D" w:rsidRDefault="006C3265" w:rsidP="00D16E54">
      <w:pPr>
        <w:spacing w:after="0"/>
      </w:pPr>
      <w:r>
        <w:rPr>
          <w:noProof/>
          <w:lang w:eastAsia="en-AU"/>
        </w:rPr>
        <mc:AlternateContent>
          <mc:Choice Requires="wps">
            <w:drawing>
              <wp:anchor distT="0" distB="0" distL="114300" distR="114300" simplePos="0" relativeHeight="251659264" behindDoc="0" locked="0" layoutInCell="1" allowOverlap="1" wp14:anchorId="1DC2905D" wp14:editId="4C290BC3">
                <wp:simplePos x="0" y="0"/>
                <wp:positionH relativeFrom="column">
                  <wp:posOffset>4148455</wp:posOffset>
                </wp:positionH>
                <wp:positionV relativeFrom="paragraph">
                  <wp:posOffset>5968011</wp:posOffset>
                </wp:positionV>
                <wp:extent cx="2030819" cy="712248"/>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819" cy="712248"/>
                        </a:xfrm>
                        <a:prstGeom prst="rect">
                          <a:avLst/>
                        </a:prstGeom>
                        <a:solidFill>
                          <a:srgbClr val="FFFFFF"/>
                        </a:solidFill>
                        <a:ln w="9525">
                          <a:noFill/>
                          <a:miter lim="800000"/>
                          <a:headEnd/>
                          <a:tailEnd/>
                        </a:ln>
                      </wps:spPr>
                      <wps:txbx>
                        <w:txbxContent>
                          <w:p w:rsidR="0003004E" w:rsidRPr="006C3265" w:rsidRDefault="0003004E">
                            <w:pPr>
                              <w:rPr>
                                <w:rFonts w:asciiTheme="minorHAnsi" w:hAnsiTheme="minorHAnsi"/>
                                <w:sz w:val="20"/>
                              </w:rPr>
                            </w:pPr>
                            <w:r w:rsidRPr="006C3265">
                              <w:rPr>
                                <w:rFonts w:asciiTheme="minorHAnsi" w:hAnsiTheme="minorHAnsi"/>
                                <w:sz w:val="20"/>
                              </w:rPr>
                              <w:t>If you would like to receive this publication in an accessible format please telephone (03) 9651 0909 or email information@dtf.vic.gov.au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65pt;margin-top:469.9pt;width:159.9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WwIgIAAB0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" stroked="f">
                <v:textbox>
                  <w:txbxContent>
                    <w:p w:rsidR="0003004E" w:rsidRPr="006C3265" w:rsidRDefault="0003004E">
                      <w:pPr>
                        <w:rPr>
                          <w:rFonts w:asciiTheme="minorHAnsi" w:hAnsiTheme="minorHAnsi"/>
                          <w:sz w:val="20"/>
                        </w:rPr>
                      </w:pPr>
                      <w:r w:rsidRPr="006C3265">
                        <w:rPr>
                          <w:rFonts w:asciiTheme="minorHAnsi" w:hAnsiTheme="minorHAnsi"/>
                          <w:sz w:val="20"/>
                        </w:rPr>
                        <w:t>If you would like to receive this publication in an accessible format please telephone (03) 9651 0909 or email information@dtf.vic.gov.au</w:t>
                      </w:r>
                    </w:p>
                  </w:txbxContent>
                </v:textbox>
              </v:shape>
            </w:pict>
          </mc:Fallback>
        </mc:AlternateContent>
      </w:r>
    </w:p>
    <w:sectPr w:rsidR="00283E0D" w:rsidSect="00376DFB">
      <w:headerReference w:type="even" r:id="rId24"/>
      <w:footerReference w:type="even" r:id="rId25"/>
      <w:footerReference w:type="default" r:id="rId26"/>
      <w:pgSz w:w="11906" w:h="16838" w:code="9"/>
      <w:pgMar w:top="1152" w:right="1152" w:bottom="1152" w:left="1152"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4E" w:rsidRDefault="0003004E">
      <w:r>
        <w:separator/>
      </w:r>
    </w:p>
    <w:p w:rsidR="0003004E" w:rsidRDefault="0003004E"/>
  </w:endnote>
  <w:endnote w:type="continuationSeparator" w:id="0">
    <w:p w:rsidR="0003004E" w:rsidRDefault="0003004E">
      <w:r>
        <w:continuationSeparator/>
      </w:r>
    </w:p>
    <w:p w:rsidR="0003004E" w:rsidRDefault="00030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Pr="004579DB" w:rsidRDefault="0003004E" w:rsidP="00334514">
    <w:pPr>
      <w:pStyle w:val="Footer"/>
      <w:pBdr>
        <w:top w:val="none" w:sz="0" w:space="0" w:color="auto"/>
      </w:pBd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rsidP="00675356">
    <w:pPr>
      <w:pStyle w:val="Footer"/>
      <w:tabs>
        <w:tab w:val="clear" w:pos="7085"/>
        <w:tab w:val="right" w:pos="9630"/>
      </w:tabs>
    </w:pPr>
    <w:r>
      <w:rPr>
        <w:rStyle w:val="PageNumber"/>
      </w:rPr>
      <w:fldChar w:fldCharType="begin"/>
    </w:r>
    <w:r>
      <w:rPr>
        <w:rStyle w:val="PageNumber"/>
      </w:rPr>
      <w:instrText xml:space="preserve"> PAGE </w:instrText>
    </w:r>
    <w:r>
      <w:rPr>
        <w:rStyle w:val="PageNumber"/>
      </w:rPr>
      <w:fldChar w:fldCharType="separate"/>
    </w:r>
    <w:r w:rsidR="00706958">
      <w:rPr>
        <w:rStyle w:val="PageNumber"/>
        <w:noProof/>
      </w:rPr>
      <w:t>30</w:t>
    </w:r>
    <w:r>
      <w:rPr>
        <w:rStyle w:val="PageNumber"/>
      </w:rPr>
      <w:fldChar w:fldCharType="end"/>
    </w:r>
    <w:r>
      <w:tab/>
      <w:t>Quarterly financial report for the Victorian general government sector – September 2015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Pr="00675356" w:rsidRDefault="0003004E" w:rsidP="00376DFB">
    <w:pPr>
      <w:pStyle w:val="Footer"/>
      <w:tabs>
        <w:tab w:val="clear" w:pos="7085"/>
        <w:tab w:val="center" w:pos="6120"/>
        <w:tab w:val="right" w:pos="9630"/>
      </w:tabs>
      <w:rPr>
        <w:rStyle w:val="PageNumber"/>
      </w:rPr>
    </w:pPr>
    <w:r>
      <w:t>Quarterly financial report for the Victorian general government sector – September 2015</w:t>
    </w:r>
    <w:r>
      <w:tab/>
    </w:r>
    <w:r>
      <w:rPr>
        <w:rStyle w:val="PageNumber"/>
      </w:rPr>
      <w:fldChar w:fldCharType="begin"/>
    </w:r>
    <w:r>
      <w:rPr>
        <w:rStyle w:val="PageNumber"/>
      </w:rPr>
      <w:instrText xml:space="preserve"> PAGE </w:instrText>
    </w:r>
    <w:r>
      <w:rPr>
        <w:rStyle w:val="PageNumber"/>
      </w:rPr>
      <w:fldChar w:fldCharType="separate"/>
    </w:r>
    <w:r w:rsidR="00706958">
      <w:rPr>
        <w:rStyle w:val="PageNumber"/>
        <w:noProof/>
      </w:rPr>
      <w:t>31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Pr="004579DB" w:rsidRDefault="0003004E" w:rsidP="00334514">
    <w:pPr>
      <w:pStyle w:val="Footer"/>
      <w:pBdr>
        <w:top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rsidP="00334514">
    <w:pPr>
      <w:pStyle w:val="Footer"/>
      <w:pBdr>
        <w:top w:val="none" w:sz="0" w:space="0" w:color="auto"/>
      </w:pBdr>
      <w:tabs>
        <w:tab w:val="clear" w:pos="7085"/>
        <w:tab w:val="right" w:pos="9630"/>
      </w:tabs>
    </w:pPr>
    <w:r>
      <w:rPr>
        <w:rStyle w:val="PageNumber"/>
      </w:rPr>
      <w:fldChar w:fldCharType="begin"/>
    </w:r>
    <w:r>
      <w:rPr>
        <w:rStyle w:val="PageNumber"/>
      </w:rPr>
      <w:instrText xml:space="preserve"> PAGE </w:instrText>
    </w:r>
    <w:r>
      <w:rPr>
        <w:rStyle w:val="PageNumber"/>
      </w:rPr>
      <w:fldChar w:fldCharType="separate"/>
    </w:r>
    <w:r w:rsidR="00C67478">
      <w:rPr>
        <w:rStyle w:val="PageNumber"/>
        <w:noProof/>
      </w:rPr>
      <w:t>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Pr="00675356" w:rsidRDefault="0003004E" w:rsidP="00334514">
    <w:pPr>
      <w:pStyle w:val="Footer"/>
      <w:pBdr>
        <w:top w:val="none" w:sz="0" w:space="0" w:color="auto"/>
      </w:pBdr>
      <w:tabs>
        <w:tab w:val="clear" w:pos="7085"/>
        <w:tab w:val="center" w:pos="6120"/>
        <w:tab w:val="right" w:pos="9630"/>
      </w:tabs>
      <w:spacing w:after="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67478">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rsidP="00B36BA0">
    <w:pPr>
      <w:pStyle w:val="Footer"/>
      <w:tabs>
        <w:tab w:val="clear" w:pos="7085"/>
        <w:tab w:val="right" w:pos="9630"/>
      </w:tabs>
    </w:pPr>
    <w:r>
      <w:rPr>
        <w:rStyle w:val="PageNumber"/>
      </w:rPr>
      <w:fldChar w:fldCharType="begin"/>
    </w:r>
    <w:r>
      <w:rPr>
        <w:rStyle w:val="PageNumber"/>
      </w:rPr>
      <w:instrText xml:space="preserve"> PAGE </w:instrText>
    </w:r>
    <w:r>
      <w:rPr>
        <w:rStyle w:val="PageNumber"/>
      </w:rPr>
      <w:fldChar w:fldCharType="separate"/>
    </w:r>
    <w:r w:rsidR="00706958">
      <w:rPr>
        <w:rStyle w:val="PageNumber"/>
        <w:noProof/>
      </w:rPr>
      <w:t>6</w:t>
    </w:r>
    <w:r>
      <w:rPr>
        <w:rStyle w:val="PageNumber"/>
      </w:rPr>
      <w:fldChar w:fldCharType="end"/>
    </w:r>
    <w:r>
      <w:tab/>
      <w:t>Quarterly financial report for the Victorian general government sector – September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rsidP="00B36BA0">
    <w:pPr>
      <w:pStyle w:val="Footer"/>
      <w:tabs>
        <w:tab w:val="clear" w:pos="7085"/>
        <w:tab w:val="center" w:pos="6120"/>
        <w:tab w:val="right" w:pos="9630"/>
      </w:tabs>
    </w:pPr>
    <w:r>
      <w:t>Quarterly financial report for the Victorian general government sector – September 2015</w:t>
    </w:r>
    <w:r>
      <w:tab/>
    </w:r>
    <w:r>
      <w:rPr>
        <w:rStyle w:val="PageNumber"/>
      </w:rPr>
      <w:fldChar w:fldCharType="begin"/>
    </w:r>
    <w:r>
      <w:rPr>
        <w:rStyle w:val="PageNumber"/>
      </w:rPr>
      <w:instrText xml:space="preserve"> PAGE </w:instrText>
    </w:r>
    <w:r>
      <w:rPr>
        <w:rStyle w:val="PageNumber"/>
      </w:rPr>
      <w:fldChar w:fldCharType="separate"/>
    </w:r>
    <w:r w:rsidR="00706958">
      <w:rPr>
        <w:rStyle w:val="PageNumber"/>
        <w:noProof/>
      </w:rPr>
      <w:t>7</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pPr>
      <w:pStyle w:val="Footer"/>
    </w:pPr>
  </w:p>
  <w:p w:rsidR="0003004E" w:rsidRDefault="0003004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Pr="00376DFB" w:rsidRDefault="0003004E" w:rsidP="00376DFB">
    <w:pPr>
      <w:pStyle w:val="Footer"/>
      <w:pBdr>
        <w:top w:val="none" w:sz="0" w:space="0" w:color="auto"/>
      </w:pBd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Pr="00376DFB" w:rsidRDefault="0003004E" w:rsidP="00376DFB">
    <w:pPr>
      <w:pStyle w:val="Footer"/>
      <w:pBdr>
        <w:top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4E" w:rsidRDefault="0003004E">
      <w:r>
        <w:separator/>
      </w:r>
    </w:p>
    <w:p w:rsidR="0003004E" w:rsidRDefault="0003004E"/>
  </w:footnote>
  <w:footnote w:type="continuationSeparator" w:id="0">
    <w:p w:rsidR="0003004E" w:rsidRDefault="0003004E">
      <w:r>
        <w:continuationSeparator/>
      </w:r>
    </w:p>
    <w:p w:rsidR="0003004E" w:rsidRDefault="000300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7069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22883" type="#_x0000_t136" style="position:absolute;margin-left:0;margin-top:0;width:537.2pt;height:119.35pt;rotation:315;z-index:-251658240;mso-position-horizontal:center;mso-position-horizontal-relative:margin;mso-position-vertical:center;mso-position-vertical-relative:margin" o:allowincell="f" fillcolor="silver" stroked="f">
          <v:fill opacity=".5"/>
          <v:textpath style="font-family:&quot;Times New Roman&quot;;font-size:1pt" string="QA 28100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pPr>
      <w:pStyle w:val="Header"/>
    </w:pPr>
  </w:p>
  <w:p w:rsidR="0003004E" w:rsidRDefault="0003004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pPr>
      <w:pStyle w:val="Header"/>
    </w:pPr>
    <w:r>
      <w:rPr>
        <w:noProof/>
        <w:lang w:eastAsia="en-AU"/>
      </w:rPr>
      <mc:AlternateContent>
        <mc:Choice Requires="wps">
          <w:drawing>
            <wp:anchor distT="0" distB="0" distL="114300" distR="114300" simplePos="0" relativeHeight="251657216" behindDoc="0" locked="0" layoutInCell="0" allowOverlap="1" wp14:anchorId="298D4F27" wp14:editId="2D225C8B">
              <wp:simplePos x="0" y="0"/>
              <wp:positionH relativeFrom="page">
                <wp:posOffset>345440</wp:posOffset>
              </wp:positionH>
              <wp:positionV relativeFrom="page">
                <wp:posOffset>698500</wp:posOffset>
              </wp:positionV>
              <wp:extent cx="392400" cy="61920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92400" cy="61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04E" w:rsidRDefault="0003004E" w:rsidP="00376DFB">
                          <w:pPr>
                            <w:pStyle w:val="OddFooterLandscape"/>
                          </w:pPr>
                          <w:r>
                            <w:t>8</w:t>
                          </w:r>
                          <w:r>
                            <w:tab/>
                            <w:t>Quarterly financial report for the Victorian general government sector – September 2015</w:t>
                          </w:r>
                        </w:p>
                      </w:txbxContent>
                    </wps:txbx>
                    <wps:bodyPr rot="0" vert="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Rectangle 4" o:spid="_x0000_s1027" style="position:absolute;margin-left:27.2pt;margin-top:55pt;width:30.9pt;height:48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" o:allowincell="f" filled="f" stroked="f">
              <v:textbox style="layout-flow:vertical">
                <w:txbxContent>
                  <w:p w:rsidR="0003004E" w:rsidRDefault="0003004E" w:rsidP="00376DFB">
                    <w:pPr>
                      <w:pStyle w:val="OddFooterLandscape"/>
                    </w:pPr>
                    <w:r>
                      <w:t>8</w:t>
                    </w:r>
                    <w:r>
                      <w:tab/>
                      <w:t>Quarterly financial report for the Victorian general government sector – September 2015</w:t>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4E" w:rsidRDefault="00030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11A166A"/>
    <w:lvl w:ilvl="0">
      <w:start w:val="1"/>
      <w:numFmt w:val="bullet"/>
      <w:pStyle w:val="OGTabBullet"/>
      <w:lvlText w:val=""/>
      <w:lvlJc w:val="left"/>
      <w:pPr>
        <w:tabs>
          <w:tab w:val="num" w:pos="1492"/>
        </w:tabs>
        <w:ind w:left="1492" w:hanging="360"/>
      </w:pPr>
      <w:rPr>
        <w:rFonts w:ascii="Symbol" w:hAnsi="Symbol" w:hint="default"/>
      </w:rPr>
    </w:lvl>
  </w:abstractNum>
  <w:abstractNum w:abstractNumId="1">
    <w:nsid w:val="FFFFFF81"/>
    <w:multiLevelType w:val="singleLevel"/>
    <w:tmpl w:val="77BE44F0"/>
    <w:lvl w:ilvl="0">
      <w:start w:val="1"/>
      <w:numFmt w:val="bullet"/>
      <w:pStyle w:val="VAGOBullet"/>
      <w:lvlText w:val=""/>
      <w:lvlJc w:val="left"/>
      <w:pPr>
        <w:tabs>
          <w:tab w:val="num" w:pos="1209"/>
        </w:tabs>
        <w:ind w:left="1209" w:hanging="360"/>
      </w:pPr>
      <w:rPr>
        <w:rFonts w:ascii="Symbol" w:hAnsi="Symbol" w:hint="default"/>
      </w:rPr>
    </w:lvl>
  </w:abstractNum>
  <w:abstractNum w:abstractNumId="2">
    <w:nsid w:val="FFFFFF82"/>
    <w:multiLevelType w:val="singleLevel"/>
    <w:tmpl w:val="14369BB8"/>
    <w:lvl w:ilvl="0">
      <w:start w:val="1"/>
      <w:numFmt w:val="bullet"/>
      <w:pStyle w:val="OGBullet"/>
      <w:lvlText w:val=""/>
      <w:lvlJc w:val="left"/>
      <w:pPr>
        <w:tabs>
          <w:tab w:val="num" w:pos="926"/>
        </w:tabs>
        <w:ind w:left="926" w:hanging="360"/>
      </w:pPr>
      <w:rPr>
        <w:rFonts w:ascii="Symbol" w:hAnsi="Symbol" w:hint="default"/>
      </w:rPr>
    </w:lvl>
  </w:abstractNum>
  <w:abstractNum w:abstractNumId="3">
    <w:nsid w:val="FFFFFF89"/>
    <w:multiLevelType w:val="singleLevel"/>
    <w:tmpl w:val="0C2EB262"/>
    <w:lvl w:ilvl="0">
      <w:start w:val="1"/>
      <w:numFmt w:val="bullet"/>
      <w:pStyle w:val="HighlightBoxBullet"/>
      <w:lvlText w:val=""/>
      <w:lvlJc w:val="left"/>
      <w:pPr>
        <w:tabs>
          <w:tab w:val="num" w:pos="360"/>
        </w:tabs>
        <w:ind w:left="360" w:hanging="360"/>
      </w:pPr>
      <w:rPr>
        <w:rFonts w:ascii="Symbol" w:hAnsi="Symbol" w:hint="default"/>
      </w:rPr>
    </w:lvl>
  </w:abstractNum>
  <w:abstractNum w:abstractNumId="4">
    <w:nsid w:val="285C08AE"/>
    <w:multiLevelType w:val="multilevel"/>
    <w:tmpl w:val="D0E6C876"/>
    <w:lvl w:ilvl="0">
      <w:start w:val="1"/>
      <w:numFmt w:val="bullet"/>
      <w:pStyle w:val="BulletTex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nsid w:val="3CFC52E9"/>
    <w:multiLevelType w:val="hybridMultilevel"/>
    <w:tmpl w:val="4E7E9C4C"/>
    <w:lvl w:ilvl="0" w:tplc="7F6824A4">
      <w:start w:val="1"/>
      <w:numFmt w:val="bullet"/>
      <w:pStyle w:val="NotesDash"/>
      <w:lvlText w:val="–"/>
      <w:lvlJc w:val="left"/>
      <w:pPr>
        <w:tabs>
          <w:tab w:val="num" w:pos="922"/>
        </w:tabs>
        <w:ind w:left="922" w:hanging="468"/>
      </w:pPr>
      <w:rPr>
        <w:rFonts w:ascii="Times New Roman" w:hAnsi="Times New Roman"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EE34E10"/>
    <w:multiLevelType w:val="multilevel"/>
    <w:tmpl w:val="052A6D60"/>
    <w:lvl w:ilvl="0">
      <w:start w:val="1"/>
      <w:numFmt w:val="upperLetter"/>
      <w:pStyle w:val="Heading3Numbering"/>
      <w:lvlText w:val="(%1)"/>
      <w:lvlJc w:val="left"/>
      <w:pPr>
        <w:tabs>
          <w:tab w:val="num" w:pos="720"/>
        </w:tabs>
        <w:ind w:left="720" w:hanging="720"/>
      </w:pPr>
      <w:rPr>
        <w:rFonts w:ascii="Calibri" w:hAnsi="Calibri" w:hint="default"/>
        <w:sz w:val="24"/>
        <w:szCs w:val="24"/>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792603EA"/>
    <w:multiLevelType w:val="singleLevel"/>
    <w:tmpl w:val="9DB0D9C8"/>
    <w:lvl w:ilvl="0">
      <w:start w:val="1"/>
      <w:numFmt w:val="bullet"/>
      <w:pStyle w:val="DashText"/>
      <w:lvlText w:val=""/>
      <w:lvlJc w:val="left"/>
      <w:pPr>
        <w:tabs>
          <w:tab w:val="num" w:pos="360"/>
        </w:tabs>
        <w:ind w:left="360" w:hanging="360"/>
      </w:pPr>
      <w:rPr>
        <w:rFonts w:ascii="Symbol" w:hAnsi="Symbol" w:hint="default"/>
        <w:sz w:val="20"/>
      </w:r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autoFormatOverride/>
  <w:defaultTabStop w:val="720"/>
  <w:evenAndOddHeaders/>
  <w:noPunctuationKerning/>
  <w:characterSpacingControl w:val="doNotCompress"/>
  <w:hdrShapeDefaults>
    <o:shapedefaults v:ext="edit" spidmax="122884"/>
    <o:shapelayout v:ext="edit">
      <o:idmap v:ext="edit" data="120"/>
    </o:shapelayout>
  </w:hdrShapeDefaults>
  <w:footnotePr>
    <w:footnote w:id="-1"/>
    <w:footnote w:id="0"/>
  </w:footnotePr>
  <w:endnotePr>
    <w:endnote w:id="-1"/>
    <w:endnote w:id="0"/>
  </w:endnotePr>
  <w:compat>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0D"/>
    <w:rsid w:val="00006F06"/>
    <w:rsid w:val="00007ABB"/>
    <w:rsid w:val="00014798"/>
    <w:rsid w:val="00021CE5"/>
    <w:rsid w:val="0003004E"/>
    <w:rsid w:val="0004119A"/>
    <w:rsid w:val="00045207"/>
    <w:rsid w:val="00050309"/>
    <w:rsid w:val="000557B1"/>
    <w:rsid w:val="00057EE3"/>
    <w:rsid w:val="00063F73"/>
    <w:rsid w:val="000679D5"/>
    <w:rsid w:val="000701E0"/>
    <w:rsid w:val="000728CB"/>
    <w:rsid w:val="000744DA"/>
    <w:rsid w:val="00075ADC"/>
    <w:rsid w:val="000771C1"/>
    <w:rsid w:val="0008612F"/>
    <w:rsid w:val="00087089"/>
    <w:rsid w:val="00095770"/>
    <w:rsid w:val="000957DD"/>
    <w:rsid w:val="000A7352"/>
    <w:rsid w:val="000B0990"/>
    <w:rsid w:val="000B1105"/>
    <w:rsid w:val="000B2895"/>
    <w:rsid w:val="000C1027"/>
    <w:rsid w:val="000C4827"/>
    <w:rsid w:val="000C5C56"/>
    <w:rsid w:val="000C683C"/>
    <w:rsid w:val="000D4194"/>
    <w:rsid w:val="000D4CC0"/>
    <w:rsid w:val="000D652A"/>
    <w:rsid w:val="000E1652"/>
    <w:rsid w:val="000E435C"/>
    <w:rsid w:val="000F2BCE"/>
    <w:rsid w:val="000F4C88"/>
    <w:rsid w:val="000F532A"/>
    <w:rsid w:val="0013022C"/>
    <w:rsid w:val="00131B8B"/>
    <w:rsid w:val="00135C7F"/>
    <w:rsid w:val="001368DE"/>
    <w:rsid w:val="001425EC"/>
    <w:rsid w:val="0014342C"/>
    <w:rsid w:val="001438DF"/>
    <w:rsid w:val="0014694C"/>
    <w:rsid w:val="0014699D"/>
    <w:rsid w:val="00166C5A"/>
    <w:rsid w:val="0017044F"/>
    <w:rsid w:val="00170A6D"/>
    <w:rsid w:val="00170C5E"/>
    <w:rsid w:val="0017705A"/>
    <w:rsid w:val="00180BBD"/>
    <w:rsid w:val="00184361"/>
    <w:rsid w:val="00184F75"/>
    <w:rsid w:val="00186227"/>
    <w:rsid w:val="00186B75"/>
    <w:rsid w:val="00187396"/>
    <w:rsid w:val="001913DC"/>
    <w:rsid w:val="0019634F"/>
    <w:rsid w:val="00196D5A"/>
    <w:rsid w:val="001A7931"/>
    <w:rsid w:val="001B605D"/>
    <w:rsid w:val="001C11D9"/>
    <w:rsid w:val="001D18E7"/>
    <w:rsid w:val="001D436D"/>
    <w:rsid w:val="001D5D99"/>
    <w:rsid w:val="001E187A"/>
    <w:rsid w:val="001E39DC"/>
    <w:rsid w:val="001F36BA"/>
    <w:rsid w:val="001F4568"/>
    <w:rsid w:val="001F4CCB"/>
    <w:rsid w:val="0020562A"/>
    <w:rsid w:val="00206EB5"/>
    <w:rsid w:val="0020793A"/>
    <w:rsid w:val="002111D2"/>
    <w:rsid w:val="00223079"/>
    <w:rsid w:val="00227C68"/>
    <w:rsid w:val="002321AB"/>
    <w:rsid w:val="00233D74"/>
    <w:rsid w:val="00234B3A"/>
    <w:rsid w:val="002421E4"/>
    <w:rsid w:val="00245DCF"/>
    <w:rsid w:val="00246993"/>
    <w:rsid w:val="0025341B"/>
    <w:rsid w:val="00255145"/>
    <w:rsid w:val="002566D9"/>
    <w:rsid w:val="002733B3"/>
    <w:rsid w:val="00280CE5"/>
    <w:rsid w:val="00281929"/>
    <w:rsid w:val="00283E0D"/>
    <w:rsid w:val="00284FC9"/>
    <w:rsid w:val="00285253"/>
    <w:rsid w:val="00285553"/>
    <w:rsid w:val="00286674"/>
    <w:rsid w:val="002869C1"/>
    <w:rsid w:val="00296D14"/>
    <w:rsid w:val="002A766B"/>
    <w:rsid w:val="002C1D55"/>
    <w:rsid w:val="002C63DA"/>
    <w:rsid w:val="002D4015"/>
    <w:rsid w:val="002D6440"/>
    <w:rsid w:val="002E270C"/>
    <w:rsid w:val="002E31A2"/>
    <w:rsid w:val="002E5C62"/>
    <w:rsid w:val="002E6E36"/>
    <w:rsid w:val="002F3CB5"/>
    <w:rsid w:val="00301B72"/>
    <w:rsid w:val="00307156"/>
    <w:rsid w:val="0031457F"/>
    <w:rsid w:val="003173F3"/>
    <w:rsid w:val="00322DD7"/>
    <w:rsid w:val="003233E0"/>
    <w:rsid w:val="00334514"/>
    <w:rsid w:val="003369CB"/>
    <w:rsid w:val="00341734"/>
    <w:rsid w:val="00344534"/>
    <w:rsid w:val="003477DF"/>
    <w:rsid w:val="003502C8"/>
    <w:rsid w:val="003511F8"/>
    <w:rsid w:val="00355792"/>
    <w:rsid w:val="00371349"/>
    <w:rsid w:val="00375242"/>
    <w:rsid w:val="00376DFB"/>
    <w:rsid w:val="003926C8"/>
    <w:rsid w:val="003A1B60"/>
    <w:rsid w:val="003A37A6"/>
    <w:rsid w:val="003B4322"/>
    <w:rsid w:val="003C11D3"/>
    <w:rsid w:val="003C2D74"/>
    <w:rsid w:val="003C3AAE"/>
    <w:rsid w:val="003D648C"/>
    <w:rsid w:val="003E29DB"/>
    <w:rsid w:val="003E4C1F"/>
    <w:rsid w:val="003E5F00"/>
    <w:rsid w:val="003E7849"/>
    <w:rsid w:val="003E7CD7"/>
    <w:rsid w:val="00401171"/>
    <w:rsid w:val="00402B50"/>
    <w:rsid w:val="0040768C"/>
    <w:rsid w:val="00410A6C"/>
    <w:rsid w:val="00410D51"/>
    <w:rsid w:val="0041227C"/>
    <w:rsid w:val="00415008"/>
    <w:rsid w:val="00430D4B"/>
    <w:rsid w:val="00442C86"/>
    <w:rsid w:val="0044612C"/>
    <w:rsid w:val="00452B29"/>
    <w:rsid w:val="00455F51"/>
    <w:rsid w:val="00457016"/>
    <w:rsid w:val="00457242"/>
    <w:rsid w:val="004607DB"/>
    <w:rsid w:val="00464A44"/>
    <w:rsid w:val="00465985"/>
    <w:rsid w:val="00475952"/>
    <w:rsid w:val="00477003"/>
    <w:rsid w:val="00480ADD"/>
    <w:rsid w:val="004854E5"/>
    <w:rsid w:val="00491ED5"/>
    <w:rsid w:val="00492D5C"/>
    <w:rsid w:val="00493E7D"/>
    <w:rsid w:val="00494B5B"/>
    <w:rsid w:val="004B3C4B"/>
    <w:rsid w:val="004B6599"/>
    <w:rsid w:val="004C3F0D"/>
    <w:rsid w:val="004D2E19"/>
    <w:rsid w:val="004D4552"/>
    <w:rsid w:val="004D54D7"/>
    <w:rsid w:val="004E0FD6"/>
    <w:rsid w:val="004E10BC"/>
    <w:rsid w:val="004E43BF"/>
    <w:rsid w:val="004F6BAB"/>
    <w:rsid w:val="00503A10"/>
    <w:rsid w:val="005040D7"/>
    <w:rsid w:val="005051C0"/>
    <w:rsid w:val="00506A7D"/>
    <w:rsid w:val="00520422"/>
    <w:rsid w:val="0052494D"/>
    <w:rsid w:val="00531A3D"/>
    <w:rsid w:val="005429ED"/>
    <w:rsid w:val="005545C0"/>
    <w:rsid w:val="005659B1"/>
    <w:rsid w:val="0056680B"/>
    <w:rsid w:val="00570014"/>
    <w:rsid w:val="00587DC4"/>
    <w:rsid w:val="005936CC"/>
    <w:rsid w:val="00594D72"/>
    <w:rsid w:val="00597B56"/>
    <w:rsid w:val="005A04D8"/>
    <w:rsid w:val="005A32A3"/>
    <w:rsid w:val="005A4C8D"/>
    <w:rsid w:val="005A6BE2"/>
    <w:rsid w:val="005A6FB4"/>
    <w:rsid w:val="005A7A10"/>
    <w:rsid w:val="005B1E9C"/>
    <w:rsid w:val="005B4080"/>
    <w:rsid w:val="005B4DC5"/>
    <w:rsid w:val="005B5F9C"/>
    <w:rsid w:val="005C37AB"/>
    <w:rsid w:val="005C7C8B"/>
    <w:rsid w:val="005D2193"/>
    <w:rsid w:val="005E29C8"/>
    <w:rsid w:val="005F064D"/>
    <w:rsid w:val="005F7E6D"/>
    <w:rsid w:val="00606A43"/>
    <w:rsid w:val="00621AA3"/>
    <w:rsid w:val="00626E0D"/>
    <w:rsid w:val="00630FB1"/>
    <w:rsid w:val="00632998"/>
    <w:rsid w:val="006345DE"/>
    <w:rsid w:val="00642BF1"/>
    <w:rsid w:val="006504ED"/>
    <w:rsid w:val="006571CE"/>
    <w:rsid w:val="006644EB"/>
    <w:rsid w:val="0066697E"/>
    <w:rsid w:val="0066770B"/>
    <w:rsid w:val="006707CE"/>
    <w:rsid w:val="00673140"/>
    <w:rsid w:val="006734F0"/>
    <w:rsid w:val="006736CC"/>
    <w:rsid w:val="00674721"/>
    <w:rsid w:val="00675356"/>
    <w:rsid w:val="006859AE"/>
    <w:rsid w:val="00686DFB"/>
    <w:rsid w:val="0068731F"/>
    <w:rsid w:val="00690514"/>
    <w:rsid w:val="00690C84"/>
    <w:rsid w:val="006A4D00"/>
    <w:rsid w:val="006A7710"/>
    <w:rsid w:val="006A7B84"/>
    <w:rsid w:val="006C3265"/>
    <w:rsid w:val="006C4A84"/>
    <w:rsid w:val="006D5090"/>
    <w:rsid w:val="006D6A13"/>
    <w:rsid w:val="006D7735"/>
    <w:rsid w:val="006D7F71"/>
    <w:rsid w:val="006F1747"/>
    <w:rsid w:val="006F5631"/>
    <w:rsid w:val="00702EE1"/>
    <w:rsid w:val="007049C1"/>
    <w:rsid w:val="00706958"/>
    <w:rsid w:val="00707B5A"/>
    <w:rsid w:val="00714B6A"/>
    <w:rsid w:val="0071751D"/>
    <w:rsid w:val="007178C7"/>
    <w:rsid w:val="0071791A"/>
    <w:rsid w:val="007241FD"/>
    <w:rsid w:val="00727925"/>
    <w:rsid w:val="00732D14"/>
    <w:rsid w:val="00737887"/>
    <w:rsid w:val="0074008B"/>
    <w:rsid w:val="00742218"/>
    <w:rsid w:val="007444E7"/>
    <w:rsid w:val="00753BC7"/>
    <w:rsid w:val="0075776A"/>
    <w:rsid w:val="00760BAB"/>
    <w:rsid w:val="00761476"/>
    <w:rsid w:val="00762310"/>
    <w:rsid w:val="007703C5"/>
    <w:rsid w:val="00771CEB"/>
    <w:rsid w:val="00786BDA"/>
    <w:rsid w:val="00787428"/>
    <w:rsid w:val="00787D3A"/>
    <w:rsid w:val="00792301"/>
    <w:rsid w:val="00793D26"/>
    <w:rsid w:val="007A0F9E"/>
    <w:rsid w:val="007A767C"/>
    <w:rsid w:val="007B2B44"/>
    <w:rsid w:val="007B4258"/>
    <w:rsid w:val="007C157F"/>
    <w:rsid w:val="007C41A8"/>
    <w:rsid w:val="007C6EE8"/>
    <w:rsid w:val="007D0381"/>
    <w:rsid w:val="007D2FDF"/>
    <w:rsid w:val="007D3406"/>
    <w:rsid w:val="007E76DB"/>
    <w:rsid w:val="007F180A"/>
    <w:rsid w:val="007F2909"/>
    <w:rsid w:val="007F4BC6"/>
    <w:rsid w:val="007F5292"/>
    <w:rsid w:val="00801E0C"/>
    <w:rsid w:val="00803B55"/>
    <w:rsid w:val="008047B2"/>
    <w:rsid w:val="00810B57"/>
    <w:rsid w:val="0082513C"/>
    <w:rsid w:val="00827B54"/>
    <w:rsid w:val="00836249"/>
    <w:rsid w:val="00836693"/>
    <w:rsid w:val="00842AFB"/>
    <w:rsid w:val="00842C0D"/>
    <w:rsid w:val="00873DA7"/>
    <w:rsid w:val="00887F89"/>
    <w:rsid w:val="008A3A8D"/>
    <w:rsid w:val="008A5FE9"/>
    <w:rsid w:val="008B20BD"/>
    <w:rsid w:val="008B7B8A"/>
    <w:rsid w:val="008C2408"/>
    <w:rsid w:val="008E2BD1"/>
    <w:rsid w:val="008E2E05"/>
    <w:rsid w:val="008F2F39"/>
    <w:rsid w:val="008F6B32"/>
    <w:rsid w:val="00901E03"/>
    <w:rsid w:val="009025F1"/>
    <w:rsid w:val="00904A16"/>
    <w:rsid w:val="009052F5"/>
    <w:rsid w:val="00906C63"/>
    <w:rsid w:val="00913FA6"/>
    <w:rsid w:val="00923AD5"/>
    <w:rsid w:val="00924300"/>
    <w:rsid w:val="0092470F"/>
    <w:rsid w:val="0093166C"/>
    <w:rsid w:val="00943855"/>
    <w:rsid w:val="00943D46"/>
    <w:rsid w:val="0094506C"/>
    <w:rsid w:val="00945DCA"/>
    <w:rsid w:val="00953F23"/>
    <w:rsid w:val="00957D85"/>
    <w:rsid w:val="0096304A"/>
    <w:rsid w:val="00963145"/>
    <w:rsid w:val="0096377A"/>
    <w:rsid w:val="0097206F"/>
    <w:rsid w:val="00973A41"/>
    <w:rsid w:val="0097401A"/>
    <w:rsid w:val="00975B66"/>
    <w:rsid w:val="00975E94"/>
    <w:rsid w:val="0097798E"/>
    <w:rsid w:val="009942D2"/>
    <w:rsid w:val="00995570"/>
    <w:rsid w:val="009A2BC2"/>
    <w:rsid w:val="009A3179"/>
    <w:rsid w:val="009A3756"/>
    <w:rsid w:val="009A5099"/>
    <w:rsid w:val="009B34F1"/>
    <w:rsid w:val="009B59AB"/>
    <w:rsid w:val="009C433E"/>
    <w:rsid w:val="009C5731"/>
    <w:rsid w:val="009C6523"/>
    <w:rsid w:val="009C6B77"/>
    <w:rsid w:val="009D1CA9"/>
    <w:rsid w:val="009E13F6"/>
    <w:rsid w:val="009E5C53"/>
    <w:rsid w:val="009F0F12"/>
    <w:rsid w:val="009F2577"/>
    <w:rsid w:val="009F534D"/>
    <w:rsid w:val="00A02B1B"/>
    <w:rsid w:val="00A07AE2"/>
    <w:rsid w:val="00A1268C"/>
    <w:rsid w:val="00A167C1"/>
    <w:rsid w:val="00A24877"/>
    <w:rsid w:val="00A251B1"/>
    <w:rsid w:val="00A26516"/>
    <w:rsid w:val="00A30094"/>
    <w:rsid w:val="00A35685"/>
    <w:rsid w:val="00A362DF"/>
    <w:rsid w:val="00A426C4"/>
    <w:rsid w:val="00A521A7"/>
    <w:rsid w:val="00A545EC"/>
    <w:rsid w:val="00A5588D"/>
    <w:rsid w:val="00A55FBD"/>
    <w:rsid w:val="00A576F6"/>
    <w:rsid w:val="00A60C1E"/>
    <w:rsid w:val="00A62AFB"/>
    <w:rsid w:val="00A64526"/>
    <w:rsid w:val="00A70914"/>
    <w:rsid w:val="00A71163"/>
    <w:rsid w:val="00A74AB1"/>
    <w:rsid w:val="00A74CBC"/>
    <w:rsid w:val="00A8550C"/>
    <w:rsid w:val="00A8700E"/>
    <w:rsid w:val="00A945A3"/>
    <w:rsid w:val="00A94B31"/>
    <w:rsid w:val="00A96A75"/>
    <w:rsid w:val="00AA6337"/>
    <w:rsid w:val="00AB196D"/>
    <w:rsid w:val="00AB23D8"/>
    <w:rsid w:val="00AB64C0"/>
    <w:rsid w:val="00AC1171"/>
    <w:rsid w:val="00AD00DC"/>
    <w:rsid w:val="00AD7DCB"/>
    <w:rsid w:val="00AE0DB3"/>
    <w:rsid w:val="00AF2CF1"/>
    <w:rsid w:val="00AF31FE"/>
    <w:rsid w:val="00AF4A10"/>
    <w:rsid w:val="00B022A5"/>
    <w:rsid w:val="00B05683"/>
    <w:rsid w:val="00B0624D"/>
    <w:rsid w:val="00B1409D"/>
    <w:rsid w:val="00B1762A"/>
    <w:rsid w:val="00B203B9"/>
    <w:rsid w:val="00B208AA"/>
    <w:rsid w:val="00B239C1"/>
    <w:rsid w:val="00B25383"/>
    <w:rsid w:val="00B25967"/>
    <w:rsid w:val="00B27782"/>
    <w:rsid w:val="00B36BA0"/>
    <w:rsid w:val="00B36FB1"/>
    <w:rsid w:val="00B4396C"/>
    <w:rsid w:val="00B43B9B"/>
    <w:rsid w:val="00B527F0"/>
    <w:rsid w:val="00B52C3E"/>
    <w:rsid w:val="00B55816"/>
    <w:rsid w:val="00B566C6"/>
    <w:rsid w:val="00B667E8"/>
    <w:rsid w:val="00B770E7"/>
    <w:rsid w:val="00B85D36"/>
    <w:rsid w:val="00B8605D"/>
    <w:rsid w:val="00B93D58"/>
    <w:rsid w:val="00B9470E"/>
    <w:rsid w:val="00B9605C"/>
    <w:rsid w:val="00B97277"/>
    <w:rsid w:val="00BB3860"/>
    <w:rsid w:val="00BB5502"/>
    <w:rsid w:val="00BB56C6"/>
    <w:rsid w:val="00BB71EC"/>
    <w:rsid w:val="00BC61E2"/>
    <w:rsid w:val="00BC777B"/>
    <w:rsid w:val="00BE1F0B"/>
    <w:rsid w:val="00BE5DED"/>
    <w:rsid w:val="00BF1FB8"/>
    <w:rsid w:val="00BF7248"/>
    <w:rsid w:val="00C017D4"/>
    <w:rsid w:val="00C04DD7"/>
    <w:rsid w:val="00C05DC9"/>
    <w:rsid w:val="00C11D49"/>
    <w:rsid w:val="00C2380B"/>
    <w:rsid w:val="00C24FB1"/>
    <w:rsid w:val="00C27836"/>
    <w:rsid w:val="00C35791"/>
    <w:rsid w:val="00C36683"/>
    <w:rsid w:val="00C36E04"/>
    <w:rsid w:val="00C419DE"/>
    <w:rsid w:val="00C4543A"/>
    <w:rsid w:val="00C46316"/>
    <w:rsid w:val="00C46763"/>
    <w:rsid w:val="00C5552E"/>
    <w:rsid w:val="00C57608"/>
    <w:rsid w:val="00C61389"/>
    <w:rsid w:val="00C67478"/>
    <w:rsid w:val="00C7196D"/>
    <w:rsid w:val="00C71E95"/>
    <w:rsid w:val="00C723F1"/>
    <w:rsid w:val="00C75D0E"/>
    <w:rsid w:val="00C90ABB"/>
    <w:rsid w:val="00C974AC"/>
    <w:rsid w:val="00CA0111"/>
    <w:rsid w:val="00CA1E44"/>
    <w:rsid w:val="00CB3C8A"/>
    <w:rsid w:val="00CB5C08"/>
    <w:rsid w:val="00CC0BAA"/>
    <w:rsid w:val="00CC2D97"/>
    <w:rsid w:val="00CC521C"/>
    <w:rsid w:val="00CC69F7"/>
    <w:rsid w:val="00CC73D9"/>
    <w:rsid w:val="00CD0577"/>
    <w:rsid w:val="00CD1BBB"/>
    <w:rsid w:val="00CD4464"/>
    <w:rsid w:val="00CE212F"/>
    <w:rsid w:val="00CE2F83"/>
    <w:rsid w:val="00CE7761"/>
    <w:rsid w:val="00CF0F98"/>
    <w:rsid w:val="00CF1D10"/>
    <w:rsid w:val="00CF25B1"/>
    <w:rsid w:val="00CF4BDA"/>
    <w:rsid w:val="00D02A28"/>
    <w:rsid w:val="00D05873"/>
    <w:rsid w:val="00D07FED"/>
    <w:rsid w:val="00D12656"/>
    <w:rsid w:val="00D169C6"/>
    <w:rsid w:val="00D16E54"/>
    <w:rsid w:val="00D20424"/>
    <w:rsid w:val="00D23D1D"/>
    <w:rsid w:val="00D242F5"/>
    <w:rsid w:val="00D3166E"/>
    <w:rsid w:val="00D340FD"/>
    <w:rsid w:val="00D34E70"/>
    <w:rsid w:val="00D41016"/>
    <w:rsid w:val="00D41CAA"/>
    <w:rsid w:val="00D4761F"/>
    <w:rsid w:val="00D50064"/>
    <w:rsid w:val="00D52654"/>
    <w:rsid w:val="00D567E6"/>
    <w:rsid w:val="00D56B84"/>
    <w:rsid w:val="00D62FD0"/>
    <w:rsid w:val="00D7758B"/>
    <w:rsid w:val="00D82BD9"/>
    <w:rsid w:val="00D95D7D"/>
    <w:rsid w:val="00DA4D63"/>
    <w:rsid w:val="00DA6CAB"/>
    <w:rsid w:val="00DB1072"/>
    <w:rsid w:val="00DB2687"/>
    <w:rsid w:val="00DB3187"/>
    <w:rsid w:val="00DB7B76"/>
    <w:rsid w:val="00DC34D5"/>
    <w:rsid w:val="00DC3B33"/>
    <w:rsid w:val="00DC68ED"/>
    <w:rsid w:val="00DD4FDE"/>
    <w:rsid w:val="00DD79E9"/>
    <w:rsid w:val="00DE1D28"/>
    <w:rsid w:val="00DF1D4E"/>
    <w:rsid w:val="00DF56BD"/>
    <w:rsid w:val="00DF6945"/>
    <w:rsid w:val="00DF6B95"/>
    <w:rsid w:val="00E0046E"/>
    <w:rsid w:val="00E1277E"/>
    <w:rsid w:val="00E15C3C"/>
    <w:rsid w:val="00E20A2E"/>
    <w:rsid w:val="00E3563B"/>
    <w:rsid w:val="00E41106"/>
    <w:rsid w:val="00E41446"/>
    <w:rsid w:val="00E4295B"/>
    <w:rsid w:val="00E663F7"/>
    <w:rsid w:val="00E666B8"/>
    <w:rsid w:val="00E827BA"/>
    <w:rsid w:val="00E82CDB"/>
    <w:rsid w:val="00E90551"/>
    <w:rsid w:val="00E9110D"/>
    <w:rsid w:val="00E92464"/>
    <w:rsid w:val="00E940C8"/>
    <w:rsid w:val="00EA5B44"/>
    <w:rsid w:val="00EC2ADF"/>
    <w:rsid w:val="00EC7DE8"/>
    <w:rsid w:val="00EE2363"/>
    <w:rsid w:val="00EE4554"/>
    <w:rsid w:val="00EF42A6"/>
    <w:rsid w:val="00EF59EA"/>
    <w:rsid w:val="00F050C5"/>
    <w:rsid w:val="00F12DC1"/>
    <w:rsid w:val="00F1499B"/>
    <w:rsid w:val="00F17676"/>
    <w:rsid w:val="00F177D9"/>
    <w:rsid w:val="00F21AC8"/>
    <w:rsid w:val="00F26143"/>
    <w:rsid w:val="00F30683"/>
    <w:rsid w:val="00F32E32"/>
    <w:rsid w:val="00F35817"/>
    <w:rsid w:val="00F416A0"/>
    <w:rsid w:val="00F43DE5"/>
    <w:rsid w:val="00F44A2E"/>
    <w:rsid w:val="00F5014D"/>
    <w:rsid w:val="00F54D2D"/>
    <w:rsid w:val="00F560E7"/>
    <w:rsid w:val="00F62D31"/>
    <w:rsid w:val="00F92BB3"/>
    <w:rsid w:val="00F93F15"/>
    <w:rsid w:val="00F962FE"/>
    <w:rsid w:val="00FA1387"/>
    <w:rsid w:val="00FA2033"/>
    <w:rsid w:val="00FA5CC9"/>
    <w:rsid w:val="00FC16B4"/>
    <w:rsid w:val="00FC1B31"/>
    <w:rsid w:val="00FC21A7"/>
    <w:rsid w:val="00FC6048"/>
    <w:rsid w:val="00FC6519"/>
    <w:rsid w:val="00FC7F1C"/>
    <w:rsid w:val="00FD0A58"/>
    <w:rsid w:val="00FD4DDE"/>
    <w:rsid w:val="00FE1306"/>
    <w:rsid w:val="00FE16FE"/>
    <w:rsid w:val="00FE51B5"/>
    <w:rsid w:val="00FF1527"/>
    <w:rsid w:val="00FF1D8F"/>
    <w:rsid w:val="00FF6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5FBD"/>
    <w:pPr>
      <w:spacing w:after="120"/>
    </w:pPr>
    <w:rPr>
      <w:rFonts w:ascii="Garamond" w:hAnsi="Garamond"/>
      <w:sz w:val="24"/>
      <w:lang w:eastAsia="en-US"/>
    </w:rPr>
  </w:style>
  <w:style w:type="paragraph" w:styleId="Heading1">
    <w:name w:val="heading 1"/>
    <w:basedOn w:val="Normal"/>
    <w:next w:val="Normal"/>
    <w:link w:val="Heading1Char"/>
    <w:qFormat/>
    <w:rsid w:val="00BB71EC"/>
    <w:pPr>
      <w:keepNext/>
      <w:spacing w:before="360"/>
      <w:outlineLvl w:val="0"/>
    </w:pPr>
    <w:rPr>
      <w:rFonts w:ascii="Calibri" w:hAnsi="Calibri"/>
      <w:b/>
      <w:caps/>
      <w:sz w:val="28"/>
      <w:szCs w:val="22"/>
    </w:rPr>
  </w:style>
  <w:style w:type="paragraph" w:styleId="Heading2">
    <w:name w:val="heading 2"/>
    <w:basedOn w:val="Normal"/>
    <w:next w:val="Normal"/>
    <w:qFormat/>
    <w:rsid w:val="00BB71EC"/>
    <w:pPr>
      <w:keepNext/>
      <w:spacing w:before="240"/>
      <w:outlineLvl w:val="1"/>
    </w:pPr>
    <w:rPr>
      <w:rFonts w:ascii="Calibri" w:hAnsi="Calibri"/>
      <w:b/>
      <w:kern w:val="28"/>
      <w:sz w:val="28"/>
      <w:szCs w:val="22"/>
    </w:rPr>
  </w:style>
  <w:style w:type="paragraph" w:styleId="Heading3">
    <w:name w:val="heading 3"/>
    <w:basedOn w:val="Normal"/>
    <w:next w:val="Normal"/>
    <w:qFormat/>
    <w:rsid w:val="00BB71EC"/>
    <w:pPr>
      <w:keepNext/>
      <w:spacing w:before="240"/>
      <w:outlineLvl w:val="2"/>
    </w:pPr>
    <w:rPr>
      <w:rFonts w:ascii="Calibri" w:hAnsi="Calibri"/>
      <w:b/>
      <w:i/>
      <w:kern w:val="28"/>
      <w:sz w:val="26"/>
      <w:szCs w:val="22"/>
    </w:rPr>
  </w:style>
  <w:style w:type="paragraph" w:styleId="Heading4">
    <w:name w:val="heading 4"/>
    <w:basedOn w:val="Normal"/>
    <w:next w:val="Normal"/>
    <w:qFormat/>
    <w:rsid w:val="00BB71EC"/>
    <w:pPr>
      <w:keepNext/>
      <w:spacing w:before="240"/>
      <w:outlineLvl w:val="3"/>
    </w:pPr>
    <w:rPr>
      <w:rFonts w:ascii="Calibri" w:hAnsi="Calibri"/>
      <w:i/>
      <w:sz w:val="26"/>
      <w:szCs w:val="22"/>
    </w:rPr>
  </w:style>
  <w:style w:type="paragraph" w:styleId="Heading5">
    <w:name w:val="heading 5"/>
    <w:basedOn w:val="Normal"/>
    <w:next w:val="Normal"/>
    <w:qFormat/>
    <w:rsid w:val="00BB71EC"/>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9E5C53"/>
    <w:pPr>
      <w:keepNext/>
      <w:tabs>
        <w:tab w:val="left" w:pos="454"/>
      </w:tabs>
      <w:spacing w:before="240"/>
      <w:ind w:left="1152" w:hanging="1152"/>
    </w:pPr>
    <w:rPr>
      <w:rFonts w:ascii="Calibri" w:hAnsi="Calibri"/>
      <w:b/>
      <w:sz w:val="25"/>
    </w:rPr>
  </w:style>
  <w:style w:type="table" w:styleId="TableGrid">
    <w:name w:val="Table Grid"/>
    <w:basedOn w:val="TableNormal"/>
    <w:semiHidden/>
    <w:locked/>
    <w:rsid w:val="00901E03"/>
    <w:pPr>
      <w:spacing w:after="120"/>
      <w:jc w:val="both"/>
    </w:pPr>
    <w:rPr>
      <w:rFonts w:ascii="Calibri" w:hAnsi="Calibri"/>
    </w:rPr>
    <w:tblPr/>
  </w:style>
  <w:style w:type="paragraph" w:customStyle="1" w:styleId="BulletText">
    <w:name w:val="Bullet Text"/>
    <w:basedOn w:val="Normal"/>
    <w:link w:val="BulletTextChar"/>
    <w:qFormat/>
    <w:rsid w:val="00FC6048"/>
    <w:pPr>
      <w:numPr>
        <w:numId w:val="7"/>
      </w:numPr>
    </w:pPr>
  </w:style>
  <w:style w:type="paragraph" w:customStyle="1" w:styleId="ChapterHeading">
    <w:name w:val="Chapter Heading"/>
    <w:basedOn w:val="Normal"/>
    <w:next w:val="Heading1"/>
    <w:qFormat/>
    <w:rsid w:val="0013022C"/>
    <w:pPr>
      <w:keepNext/>
      <w:pBdr>
        <w:bottom w:val="single" w:sz="12" w:space="7" w:color="auto"/>
      </w:pBdr>
      <w:spacing w:before="1440" w:after="360"/>
    </w:pPr>
    <w:rPr>
      <w:rFonts w:ascii="Calibri" w:hAnsi="Calibri"/>
      <w:b/>
      <w:caps/>
      <w:sz w:val="38"/>
      <w:szCs w:val="28"/>
    </w:rPr>
  </w:style>
  <w:style w:type="paragraph" w:customStyle="1" w:styleId="Chartheading">
    <w:name w:val="Chart heading"/>
    <w:basedOn w:val="Tableheading"/>
    <w:next w:val="Normal"/>
    <w:qFormat/>
    <w:rsid w:val="00901E03"/>
  </w:style>
  <w:style w:type="paragraph" w:styleId="Footer">
    <w:name w:val="footer"/>
    <w:basedOn w:val="Normal"/>
    <w:rsid w:val="002D4015"/>
    <w:pPr>
      <w:pBdr>
        <w:top w:val="single" w:sz="6" w:space="1" w:color="auto"/>
      </w:pBdr>
      <w:tabs>
        <w:tab w:val="right" w:pos="7085"/>
      </w:tabs>
    </w:pPr>
    <w:rPr>
      <w:rFonts w:ascii="Calibri" w:hAnsi="Calibri"/>
      <w:sz w:val="22"/>
      <w:szCs w:val="18"/>
    </w:rPr>
  </w:style>
  <w:style w:type="paragraph" w:styleId="Header">
    <w:name w:val="header"/>
    <w:basedOn w:val="Footer"/>
    <w:rsid w:val="00901E03"/>
    <w:pPr>
      <w:pBdr>
        <w:top w:val="none" w:sz="0" w:space="0" w:color="auto"/>
      </w:pBdr>
      <w:tabs>
        <w:tab w:val="clear" w:pos="7085"/>
      </w:tabs>
    </w:pPr>
  </w:style>
  <w:style w:type="paragraph" w:customStyle="1" w:styleId="Heading2Notes">
    <w:name w:val="Heading 2 Notes"/>
    <w:basedOn w:val="Heading2"/>
    <w:rsid w:val="00901E03"/>
    <w:pPr>
      <w:tabs>
        <w:tab w:val="left" w:pos="1152"/>
      </w:tabs>
      <w:ind w:left="1152" w:hanging="1152"/>
    </w:pPr>
  </w:style>
  <w:style w:type="paragraph" w:customStyle="1" w:styleId="Notes">
    <w:name w:val="Notes"/>
    <w:basedOn w:val="Normal"/>
    <w:link w:val="NotesChar"/>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3"/>
      </w:numPr>
      <w:tabs>
        <w:tab w:val="clear" w:pos="926"/>
        <w:tab w:val="num" w:pos="360"/>
      </w:tabs>
      <w:ind w:left="360"/>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ChapterHeading"/>
    <w:next w:val="Normal"/>
    <w:rsid w:val="00901E03"/>
  </w:style>
  <w:style w:type="paragraph" w:customStyle="1" w:styleId="Heading2NotesContd">
    <w:name w:val="Heading 2 Notes Cont'd"/>
    <w:basedOn w:val="Heading2Notes"/>
    <w:rsid w:val="00901E03"/>
  </w:style>
  <w:style w:type="paragraph" w:customStyle="1" w:styleId="HighlightBoxText">
    <w:name w:val="Highlight Box Text"/>
    <w:basedOn w:val="HighlightBoxBullet"/>
    <w:qFormat/>
    <w:rsid w:val="00901E03"/>
    <w:pPr>
      <w:numPr>
        <w:numId w:val="0"/>
      </w:numPr>
    </w:pPr>
  </w:style>
  <w:style w:type="paragraph" w:styleId="TOC1">
    <w:name w:val="toc 1"/>
    <w:basedOn w:val="Normal"/>
    <w:next w:val="Normal"/>
    <w:uiPriority w:val="39"/>
    <w:rsid w:val="00B36BA0"/>
    <w:pPr>
      <w:tabs>
        <w:tab w:val="right" w:leader="dot" w:pos="9185"/>
      </w:tabs>
      <w:spacing w:before="40" w:after="40"/>
      <w:ind w:right="422"/>
    </w:pPr>
    <w:rPr>
      <w:rFonts w:ascii="Calibri" w:hAnsi="Calibri"/>
      <w:b/>
    </w:rPr>
  </w:style>
  <w:style w:type="paragraph" w:styleId="TOC2">
    <w:name w:val="toc 2"/>
    <w:basedOn w:val="Normal"/>
    <w:next w:val="Normal"/>
    <w:uiPriority w:val="39"/>
    <w:rsid w:val="00B36BA0"/>
    <w:pPr>
      <w:tabs>
        <w:tab w:val="right" w:leader="dot" w:pos="9185"/>
      </w:tabs>
      <w:spacing w:after="0"/>
      <w:ind w:left="288" w:right="422"/>
    </w:pPr>
    <w:rPr>
      <w:rFonts w:ascii="Calibri" w:hAnsi="Calibri"/>
      <w:sz w:val="22"/>
    </w:rPr>
  </w:style>
  <w:style w:type="paragraph" w:styleId="TOC3">
    <w:name w:val="toc 3"/>
    <w:basedOn w:val="Normal"/>
    <w:next w:val="Normal"/>
    <w:rsid w:val="00BB71EC"/>
    <w:pPr>
      <w:tabs>
        <w:tab w:val="right" w:leader="dot" w:pos="7830"/>
      </w:tabs>
      <w:spacing w:after="0"/>
      <w:ind w:left="432" w:right="422"/>
    </w:pPr>
    <w:rPr>
      <w:rFonts w:ascii="Calibri" w:hAnsi="Calibri"/>
      <w:i/>
      <w:sz w:val="22"/>
    </w:rPr>
  </w:style>
  <w:style w:type="paragraph" w:styleId="TOC4">
    <w:name w:val="toc 4"/>
    <w:basedOn w:val="TOC1"/>
    <w:next w:val="Normal"/>
    <w:uiPriority w:val="39"/>
    <w:rsid w:val="00742218"/>
    <w:pPr>
      <w:tabs>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C433E"/>
    <w:pPr>
      <w:numPr>
        <w:numId w:val="6"/>
      </w:numPr>
      <w:tabs>
        <w:tab w:val="left" w:pos="504"/>
      </w:tabs>
    </w:pPr>
  </w:style>
  <w:style w:type="paragraph" w:customStyle="1" w:styleId="Heading5a">
    <w:name w:val="Heading 5a"/>
    <w:basedOn w:val="Heading5"/>
    <w:rsid w:val="00BB71EC"/>
    <w:pPr>
      <w:tabs>
        <w:tab w:val="clear" w:pos="504"/>
      </w:tabs>
    </w:pPr>
    <w:rPr>
      <w:b w:val="0"/>
      <w:i/>
      <w:sz w:val="23"/>
    </w:rPr>
  </w:style>
  <w:style w:type="character" w:customStyle="1" w:styleId="OGTabBulletChar">
    <w:name w:val="OGTabBullet Char"/>
    <w:link w:val="OGTabBullet"/>
    <w:semiHidden/>
    <w:rsid w:val="000F532A"/>
    <w:rPr>
      <w:rFonts w:ascii="Calibri" w:hAnsi="Calibri"/>
      <w:sz w:val="22"/>
      <w:szCs w:val="18"/>
    </w:rPr>
  </w:style>
  <w:style w:type="paragraph" w:customStyle="1" w:styleId="OGTabBullet">
    <w:name w:val="OGTabBullet"/>
    <w:basedOn w:val="OGBullet"/>
    <w:link w:val="OGTabBulletChar"/>
    <w:semiHidden/>
    <w:rsid w:val="000F532A"/>
    <w:pPr>
      <w:numPr>
        <w:numId w:val="5"/>
      </w:numPr>
      <w:tabs>
        <w:tab w:val="clear" w:pos="1492"/>
        <w:tab w:val="num" w:pos="605"/>
      </w:tabs>
      <w:spacing w:before="30" w:after="30"/>
      <w:ind w:left="605"/>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qFormat/>
    <w:rsid w:val="00901E03"/>
    <w:pPr>
      <w:numPr>
        <w:ilvl w:val="1"/>
        <w:numId w:val="1"/>
      </w:numPr>
      <w:tabs>
        <w:tab w:val="clear" w:pos="360"/>
        <w:tab w:val="num" w:pos="720"/>
      </w:tabs>
      <w:ind w:left="720"/>
    </w:pPr>
  </w:style>
  <w:style w:type="paragraph" w:customStyle="1" w:styleId="VersionTableText">
    <w:name w:val="VersionTableText"/>
    <w:basedOn w:val="Normal"/>
    <w:rsid w:val="00206EB5"/>
    <w:pPr>
      <w:spacing w:after="0"/>
      <w:jc w:val="center"/>
    </w:pPr>
    <w:rPr>
      <w:rFonts w:ascii="Calibri" w:hAnsi="Calibri"/>
      <w:sz w:val="22"/>
    </w:rPr>
  </w:style>
  <w:style w:type="paragraph" w:customStyle="1" w:styleId="VersionTableHeading">
    <w:name w:val="VersionTableHeading"/>
    <w:basedOn w:val="Normal"/>
    <w:rsid w:val="00206EB5"/>
    <w:pPr>
      <w:spacing w:after="0"/>
      <w:jc w:val="center"/>
    </w:pPr>
    <w:rPr>
      <w:rFonts w:ascii="Calibri" w:hAnsi="Calibri"/>
      <w:b/>
      <w:sz w:val="22"/>
    </w:rPr>
  </w:style>
  <w:style w:type="paragraph" w:customStyle="1" w:styleId="NotesIndent">
    <w:name w:val="NotesIndent"/>
    <w:basedOn w:val="Notes"/>
    <w:rsid w:val="00901E03"/>
    <w:pPr>
      <w:ind w:left="915"/>
    </w:pPr>
  </w:style>
  <w:style w:type="paragraph" w:customStyle="1" w:styleId="NotesDash">
    <w:name w:val="NotesDash"/>
    <w:basedOn w:val="NotesIndent"/>
    <w:rsid w:val="002421E4"/>
    <w:pPr>
      <w:numPr>
        <w:numId w:val="8"/>
      </w:numPr>
      <w:tabs>
        <w:tab w:val="clear" w:pos="454"/>
        <w:tab w:val="clear" w:pos="922"/>
        <w:tab w:val="num" w:pos="692"/>
      </w:tabs>
      <w:ind w:left="692" w:hanging="238"/>
    </w:pPr>
    <w:rPr>
      <w:rFonts w:eastAsiaTheme="minorEastAsia"/>
      <w:lang w:eastAsia="en-AU"/>
    </w:r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9E5C53"/>
    <w:rPr>
      <w:rFonts w:ascii="Calibri" w:hAnsi="Calibri"/>
      <w:b/>
      <w:sz w:val="25"/>
      <w:lang w:eastAsia="en-US"/>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Heading2Notes"/>
    <w:rsid w:val="00901E03"/>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qFormat/>
    <w:rsid w:val="00376DFB"/>
    <w:pPr>
      <w:numPr>
        <w:numId w:val="2"/>
      </w:numPr>
      <w:shd w:val="pct10" w:color="auto" w:fill="FFFFFF"/>
      <w:tabs>
        <w:tab w:val="clear" w:pos="360"/>
        <w:tab w:val="num" w:pos="90"/>
      </w:tabs>
      <w:spacing w:after="80"/>
      <w:ind w:left="357" w:hanging="357"/>
    </w:pPr>
  </w:style>
  <w:style w:type="paragraph" w:customStyle="1" w:styleId="HighlightBoxHeading">
    <w:name w:val="Highlight Box Heading"/>
    <w:basedOn w:val="Heading5a"/>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BB71EC"/>
    <w:pPr>
      <w:keepNext/>
      <w:tabs>
        <w:tab w:val="left" w:pos="1152"/>
      </w:tabs>
      <w:spacing w:before="240"/>
      <w:ind w:left="1152" w:hanging="1152"/>
      <w:outlineLvl w:val="1"/>
    </w:pPr>
    <w:rPr>
      <w:rFonts w:ascii="Calibri" w:hAnsi="Calibri"/>
      <w:b/>
      <w:kern w:val="28"/>
      <w:sz w:val="28"/>
      <w:szCs w:val="22"/>
    </w:rPr>
  </w:style>
  <w:style w:type="character" w:customStyle="1" w:styleId="TableofFiguresChar">
    <w:name w:val="Table of Figures Char"/>
    <w:link w:val="TableofFigures"/>
    <w:rsid w:val="0093166C"/>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4"/>
      </w:numPr>
      <w:tabs>
        <w:tab w:val="clear" w:pos="1209"/>
        <w:tab w:val="num" w:pos="426"/>
      </w:tabs>
      <w:ind w:left="426" w:right="-51"/>
    </w:pPr>
    <w:rPr>
      <w:iCs/>
    </w:rPr>
  </w:style>
  <w:style w:type="character" w:customStyle="1" w:styleId="TabletextChar">
    <w:name w:val="Table text Char"/>
    <w:link w:val="Tabletext"/>
    <w:rsid w:val="00630FB1"/>
    <w:rPr>
      <w:rFonts w:ascii="Calibri" w:hAnsi="Calibri"/>
      <w:sz w:val="22"/>
      <w:szCs w:val="18"/>
      <w:lang w:eastAsia="en-US"/>
    </w:rPr>
  </w:style>
  <w:style w:type="character" w:customStyle="1" w:styleId="millionChar">
    <w:name w:val="$million Char"/>
    <w:link w:val="million"/>
    <w:rsid w:val="00B208AA"/>
    <w:rPr>
      <w:rFonts w:ascii="Calibri" w:hAnsi="Calibri"/>
      <w:i/>
      <w:szCs w:val="18"/>
      <w:lang w:val="en-AU" w:eastAsia="en-US" w:bidi="ar-SA"/>
    </w:rPr>
  </w:style>
  <w:style w:type="character" w:customStyle="1" w:styleId="TabletextheadingChar">
    <w:name w:val="Table text heading Char"/>
    <w:link w:val="Tabletextheading"/>
    <w:locked/>
    <w:rsid w:val="00B208AA"/>
    <w:rPr>
      <w:rFonts w:ascii="Calibri" w:hAnsi="Calibri"/>
      <w:i/>
      <w:sz w:val="24"/>
      <w:szCs w:val="18"/>
      <w:lang w:val="en-AU" w:eastAsia="en-US" w:bidi="ar-SA"/>
    </w:rPr>
  </w:style>
  <w:style w:type="character" w:customStyle="1" w:styleId="SourceChar">
    <w:name w:val="Source Char"/>
    <w:link w:val="Source"/>
    <w:locked/>
    <w:rsid w:val="00B208AA"/>
    <w:rPr>
      <w:rFonts w:ascii="Calibri" w:hAnsi="Calibri"/>
      <w:i/>
      <w:sz w:val="16"/>
      <w:lang w:val="en-AU" w:eastAsia="en-US" w:bidi="ar-SA"/>
    </w:rPr>
  </w:style>
  <w:style w:type="character" w:customStyle="1" w:styleId="TabletextheadingCentredChar">
    <w:name w:val="Table text heading Centred Char"/>
    <w:link w:val="TabletextheadingCentred"/>
    <w:locked/>
    <w:rsid w:val="00C4543A"/>
    <w:rPr>
      <w:rFonts w:ascii="Calibri" w:hAnsi="Calibri"/>
      <w:i/>
      <w:sz w:val="24"/>
      <w:szCs w:val="18"/>
      <w:lang w:val="en-AU" w:eastAsia="en-US" w:bidi="ar-SA"/>
    </w:rPr>
  </w:style>
  <w:style w:type="character" w:styleId="Hyperlink">
    <w:name w:val="Hyperlink"/>
    <w:uiPriority w:val="99"/>
    <w:unhideWhenUsed/>
    <w:locked/>
    <w:rsid w:val="00283E0D"/>
    <w:rPr>
      <w:color w:val="0000FF"/>
      <w:u w:val="single"/>
    </w:rPr>
  </w:style>
  <w:style w:type="character" w:customStyle="1" w:styleId="BulletTextChar">
    <w:name w:val="Bullet Text Char"/>
    <w:link w:val="BulletText"/>
    <w:locked/>
    <w:rsid w:val="00FC6048"/>
    <w:rPr>
      <w:rFonts w:ascii="Garamond" w:hAnsi="Garamond"/>
      <w:sz w:val="24"/>
      <w:lang w:eastAsia="en-US"/>
    </w:rPr>
  </w:style>
  <w:style w:type="paragraph" w:styleId="BalloonText">
    <w:name w:val="Balloon Text"/>
    <w:basedOn w:val="Normal"/>
    <w:link w:val="BalloonTextChar"/>
    <w:locked/>
    <w:rsid w:val="00D41CAA"/>
    <w:pPr>
      <w:spacing w:after="0"/>
    </w:pPr>
    <w:rPr>
      <w:rFonts w:ascii="Tahoma" w:hAnsi="Tahoma" w:cs="Tahoma"/>
      <w:sz w:val="16"/>
      <w:szCs w:val="16"/>
    </w:rPr>
  </w:style>
  <w:style w:type="character" w:customStyle="1" w:styleId="BalloonTextChar">
    <w:name w:val="Balloon Text Char"/>
    <w:basedOn w:val="DefaultParagraphFont"/>
    <w:link w:val="BalloonText"/>
    <w:rsid w:val="00D41CAA"/>
    <w:rPr>
      <w:rFonts w:ascii="Tahoma" w:hAnsi="Tahoma" w:cs="Tahoma"/>
      <w:sz w:val="16"/>
      <w:szCs w:val="16"/>
      <w:lang w:eastAsia="en-US"/>
    </w:rPr>
  </w:style>
  <w:style w:type="paragraph" w:styleId="ListParagraph">
    <w:name w:val="List Paragraph"/>
    <w:basedOn w:val="Normal"/>
    <w:uiPriority w:val="34"/>
    <w:rsid w:val="001F4568"/>
    <w:pPr>
      <w:ind w:left="720"/>
      <w:contextualSpacing/>
    </w:pPr>
  </w:style>
  <w:style w:type="character" w:customStyle="1" w:styleId="NotesChar">
    <w:name w:val="Notes Char"/>
    <w:link w:val="Notes"/>
    <w:locked/>
    <w:rsid w:val="00D169C6"/>
    <w:rPr>
      <w:rFonts w:ascii="Calibri" w:hAnsi="Calibri"/>
      <w:i/>
      <w:sz w:val="16"/>
      <w:lang w:eastAsia="en-US"/>
    </w:rPr>
  </w:style>
  <w:style w:type="paragraph" w:customStyle="1" w:styleId="OddFooterLandscape">
    <w:name w:val="OddFooterLandscape"/>
    <w:basedOn w:val="Footer"/>
    <w:qFormat/>
    <w:rsid w:val="00376DFB"/>
    <w:pPr>
      <w:pBdr>
        <w:top w:val="single" w:sz="6" w:space="0" w:color="auto"/>
      </w:pBdr>
      <w:tabs>
        <w:tab w:val="clear" w:pos="7085"/>
        <w:tab w:val="center" w:pos="5947"/>
        <w:tab w:val="right" w:pos="9634"/>
      </w:tabs>
    </w:pPr>
  </w:style>
  <w:style w:type="character" w:customStyle="1" w:styleId="Heading1Char">
    <w:name w:val="Heading 1 Char"/>
    <w:basedOn w:val="DefaultParagraphFont"/>
    <w:link w:val="Heading1"/>
    <w:rsid w:val="000679D5"/>
    <w:rPr>
      <w:rFonts w:ascii="Calibri" w:hAnsi="Calibri"/>
      <w:b/>
      <w:caps/>
      <w:sz w:val="28"/>
      <w:szCs w:val="22"/>
      <w:lang w:eastAsia="en-US"/>
    </w:rPr>
  </w:style>
  <w:style w:type="paragraph" w:customStyle="1" w:styleId="Heading1nonTOC">
    <w:name w:val="Heading 1 (non TOC)"/>
    <w:basedOn w:val="Heading1"/>
    <w:qFormat/>
    <w:rsid w:val="007D0381"/>
  </w:style>
  <w:style w:type="paragraph" w:customStyle="1" w:styleId="Heading2cont">
    <w:name w:val="Heading 2 (cont)"/>
    <w:basedOn w:val="Heading2"/>
    <w:qFormat/>
    <w:rsid w:val="00D05873"/>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6" w:locked="1"/>
    <w:lsdException w:name="index 7" w:locked="1"/>
    <w:lsdException w:name="index 8" w:locked="1"/>
    <w:lsdException w:name="index 9" w:locked="1"/>
    <w:lsdException w:name="toc 1" w:uiPriority="39"/>
    <w:lsdException w:name="toc 2" w:uiPriority="39"/>
    <w:lsdException w:name="toc 4" w:uiPriority="39"/>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semiHidden="1" w:unhideWhenUsed="1" w:qFormat="1"/>
    <w:lsdException w:name="table of figures"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lsdException w:name="Emphasis" w:locked="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55FBD"/>
    <w:pPr>
      <w:spacing w:after="120"/>
    </w:pPr>
    <w:rPr>
      <w:rFonts w:ascii="Garamond" w:hAnsi="Garamond"/>
      <w:sz w:val="24"/>
      <w:lang w:eastAsia="en-US"/>
    </w:rPr>
  </w:style>
  <w:style w:type="paragraph" w:styleId="Heading1">
    <w:name w:val="heading 1"/>
    <w:basedOn w:val="Normal"/>
    <w:next w:val="Normal"/>
    <w:link w:val="Heading1Char"/>
    <w:qFormat/>
    <w:rsid w:val="00BB71EC"/>
    <w:pPr>
      <w:keepNext/>
      <w:spacing w:before="360"/>
      <w:outlineLvl w:val="0"/>
    </w:pPr>
    <w:rPr>
      <w:rFonts w:ascii="Calibri" w:hAnsi="Calibri"/>
      <w:b/>
      <w:caps/>
      <w:sz w:val="28"/>
      <w:szCs w:val="22"/>
    </w:rPr>
  </w:style>
  <w:style w:type="paragraph" w:styleId="Heading2">
    <w:name w:val="heading 2"/>
    <w:basedOn w:val="Normal"/>
    <w:next w:val="Normal"/>
    <w:qFormat/>
    <w:rsid w:val="00BB71EC"/>
    <w:pPr>
      <w:keepNext/>
      <w:spacing w:before="240"/>
      <w:outlineLvl w:val="1"/>
    </w:pPr>
    <w:rPr>
      <w:rFonts w:ascii="Calibri" w:hAnsi="Calibri"/>
      <w:b/>
      <w:kern w:val="28"/>
      <w:sz w:val="28"/>
      <w:szCs w:val="22"/>
    </w:rPr>
  </w:style>
  <w:style w:type="paragraph" w:styleId="Heading3">
    <w:name w:val="heading 3"/>
    <w:basedOn w:val="Normal"/>
    <w:next w:val="Normal"/>
    <w:qFormat/>
    <w:rsid w:val="00BB71EC"/>
    <w:pPr>
      <w:keepNext/>
      <w:spacing w:before="240"/>
      <w:outlineLvl w:val="2"/>
    </w:pPr>
    <w:rPr>
      <w:rFonts w:ascii="Calibri" w:hAnsi="Calibri"/>
      <w:b/>
      <w:i/>
      <w:kern w:val="28"/>
      <w:sz w:val="26"/>
      <w:szCs w:val="22"/>
    </w:rPr>
  </w:style>
  <w:style w:type="paragraph" w:styleId="Heading4">
    <w:name w:val="heading 4"/>
    <w:basedOn w:val="Normal"/>
    <w:next w:val="Normal"/>
    <w:qFormat/>
    <w:rsid w:val="00BB71EC"/>
    <w:pPr>
      <w:keepNext/>
      <w:spacing w:before="240"/>
      <w:outlineLvl w:val="3"/>
    </w:pPr>
    <w:rPr>
      <w:rFonts w:ascii="Calibri" w:hAnsi="Calibri"/>
      <w:i/>
      <w:sz w:val="26"/>
      <w:szCs w:val="22"/>
    </w:rPr>
  </w:style>
  <w:style w:type="paragraph" w:styleId="Heading5">
    <w:name w:val="heading 5"/>
    <w:basedOn w:val="Normal"/>
    <w:next w:val="Normal"/>
    <w:qFormat/>
    <w:rsid w:val="00BB71EC"/>
    <w:pPr>
      <w:keepNext/>
      <w:tabs>
        <w:tab w:val="left" w:pos="504"/>
      </w:tabs>
      <w:spacing w:before="120" w:after="60"/>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lion">
    <w:name w:val="$million"/>
    <w:basedOn w:val="Normal"/>
    <w:link w:val="millionChar"/>
    <w:qFormat/>
    <w:rsid w:val="00690C84"/>
    <w:pPr>
      <w:spacing w:after="0"/>
      <w:jc w:val="center"/>
    </w:pPr>
    <w:rPr>
      <w:rFonts w:ascii="Calibri" w:hAnsi="Calibri"/>
      <w:i/>
      <w:sz w:val="20"/>
      <w:szCs w:val="18"/>
    </w:rPr>
  </w:style>
  <w:style w:type="paragraph" w:styleId="TableofFigures">
    <w:name w:val="table of figures"/>
    <w:basedOn w:val="Normal"/>
    <w:next w:val="Normal"/>
    <w:link w:val="TableofFiguresChar"/>
    <w:qFormat/>
    <w:rsid w:val="0093166C"/>
    <w:pPr>
      <w:spacing w:after="0"/>
      <w:jc w:val="right"/>
    </w:pPr>
    <w:rPr>
      <w:rFonts w:ascii="Calibri" w:hAnsi="Calibri"/>
      <w:sz w:val="22"/>
      <w:szCs w:val="18"/>
    </w:rPr>
  </w:style>
  <w:style w:type="paragraph" w:customStyle="1" w:styleId="BIP1Figures">
    <w:name w:val="BIP1 Figures"/>
    <w:basedOn w:val="TableofFigures"/>
    <w:semiHidden/>
    <w:rsid w:val="00901E03"/>
    <w:pPr>
      <w:spacing w:after="20"/>
    </w:pPr>
  </w:style>
  <w:style w:type="paragraph" w:customStyle="1" w:styleId="Tabletextheading">
    <w:name w:val="Table text heading"/>
    <w:basedOn w:val="TableofFigures"/>
    <w:link w:val="TabletextheadingChar"/>
    <w:qFormat/>
    <w:rsid w:val="00901E03"/>
    <w:rPr>
      <w:i/>
    </w:rPr>
  </w:style>
  <w:style w:type="paragraph" w:customStyle="1" w:styleId="BIP1headingr">
    <w:name w:val="BIP1 heading r"/>
    <w:basedOn w:val="Tabletextheading"/>
    <w:semiHidden/>
    <w:rsid w:val="00901E03"/>
  </w:style>
  <w:style w:type="paragraph" w:customStyle="1" w:styleId="BIP1headingl">
    <w:name w:val="BIP1 heading l"/>
    <w:basedOn w:val="BIP1headingr"/>
    <w:semiHidden/>
    <w:rsid w:val="00901E03"/>
    <w:pPr>
      <w:jc w:val="left"/>
    </w:pPr>
  </w:style>
  <w:style w:type="paragraph" w:customStyle="1" w:styleId="Tabletext">
    <w:name w:val="Table text"/>
    <w:basedOn w:val="TableofFigures"/>
    <w:link w:val="TabletextChar"/>
    <w:qFormat/>
    <w:rsid w:val="00901E03"/>
    <w:pPr>
      <w:ind w:left="180" w:hanging="180"/>
      <w:jc w:val="left"/>
    </w:pPr>
  </w:style>
  <w:style w:type="paragraph" w:customStyle="1" w:styleId="BIP1tabletext">
    <w:name w:val="BIP1 table text"/>
    <w:basedOn w:val="Tabletext"/>
    <w:semiHidden/>
    <w:rsid w:val="00901E03"/>
    <w:pPr>
      <w:spacing w:after="20"/>
      <w:ind w:left="72" w:hanging="72"/>
    </w:pPr>
  </w:style>
  <w:style w:type="paragraph" w:customStyle="1" w:styleId="Tableheading">
    <w:name w:val="Table heading"/>
    <w:basedOn w:val="Normal"/>
    <w:link w:val="TableheadingChar"/>
    <w:qFormat/>
    <w:rsid w:val="009E5C53"/>
    <w:pPr>
      <w:keepNext/>
      <w:tabs>
        <w:tab w:val="left" w:pos="454"/>
      </w:tabs>
      <w:spacing w:before="240"/>
      <w:ind w:left="1152" w:hanging="1152"/>
    </w:pPr>
    <w:rPr>
      <w:rFonts w:ascii="Calibri" w:hAnsi="Calibri"/>
      <w:b/>
      <w:sz w:val="25"/>
    </w:rPr>
  </w:style>
  <w:style w:type="table" w:styleId="TableGrid">
    <w:name w:val="Table Grid"/>
    <w:basedOn w:val="TableNormal"/>
    <w:semiHidden/>
    <w:locked/>
    <w:rsid w:val="00901E03"/>
    <w:pPr>
      <w:spacing w:after="120"/>
      <w:jc w:val="both"/>
    </w:pPr>
    <w:rPr>
      <w:rFonts w:ascii="Calibri" w:hAnsi="Calibri"/>
    </w:rPr>
    <w:tblPr/>
  </w:style>
  <w:style w:type="paragraph" w:customStyle="1" w:styleId="BulletText">
    <w:name w:val="Bullet Text"/>
    <w:basedOn w:val="Normal"/>
    <w:link w:val="BulletTextChar"/>
    <w:qFormat/>
    <w:rsid w:val="00FC6048"/>
    <w:pPr>
      <w:numPr>
        <w:numId w:val="7"/>
      </w:numPr>
    </w:pPr>
  </w:style>
  <w:style w:type="paragraph" w:customStyle="1" w:styleId="ChapterHeading">
    <w:name w:val="Chapter Heading"/>
    <w:basedOn w:val="Normal"/>
    <w:next w:val="Heading1"/>
    <w:qFormat/>
    <w:rsid w:val="0013022C"/>
    <w:pPr>
      <w:keepNext/>
      <w:pBdr>
        <w:bottom w:val="single" w:sz="12" w:space="7" w:color="auto"/>
      </w:pBdr>
      <w:spacing w:before="1440" w:after="360"/>
    </w:pPr>
    <w:rPr>
      <w:rFonts w:ascii="Calibri" w:hAnsi="Calibri"/>
      <w:b/>
      <w:caps/>
      <w:sz w:val="38"/>
      <w:szCs w:val="28"/>
    </w:rPr>
  </w:style>
  <w:style w:type="paragraph" w:customStyle="1" w:styleId="Chartheading">
    <w:name w:val="Chart heading"/>
    <w:basedOn w:val="Tableheading"/>
    <w:next w:val="Normal"/>
    <w:qFormat/>
    <w:rsid w:val="00901E03"/>
  </w:style>
  <w:style w:type="paragraph" w:styleId="Footer">
    <w:name w:val="footer"/>
    <w:basedOn w:val="Normal"/>
    <w:rsid w:val="002D4015"/>
    <w:pPr>
      <w:pBdr>
        <w:top w:val="single" w:sz="6" w:space="1" w:color="auto"/>
      </w:pBdr>
      <w:tabs>
        <w:tab w:val="right" w:pos="7085"/>
      </w:tabs>
    </w:pPr>
    <w:rPr>
      <w:rFonts w:ascii="Calibri" w:hAnsi="Calibri"/>
      <w:sz w:val="22"/>
      <w:szCs w:val="18"/>
    </w:rPr>
  </w:style>
  <w:style w:type="paragraph" w:styleId="Header">
    <w:name w:val="header"/>
    <w:basedOn w:val="Footer"/>
    <w:rsid w:val="00901E03"/>
    <w:pPr>
      <w:pBdr>
        <w:top w:val="none" w:sz="0" w:space="0" w:color="auto"/>
      </w:pBdr>
      <w:tabs>
        <w:tab w:val="clear" w:pos="7085"/>
      </w:tabs>
    </w:pPr>
  </w:style>
  <w:style w:type="paragraph" w:customStyle="1" w:styleId="Heading2Notes">
    <w:name w:val="Heading 2 Notes"/>
    <w:basedOn w:val="Heading2"/>
    <w:rsid w:val="00901E03"/>
    <w:pPr>
      <w:tabs>
        <w:tab w:val="left" w:pos="1152"/>
      </w:tabs>
      <w:ind w:left="1152" w:hanging="1152"/>
    </w:pPr>
  </w:style>
  <w:style w:type="paragraph" w:customStyle="1" w:styleId="Notes">
    <w:name w:val="Notes"/>
    <w:basedOn w:val="Normal"/>
    <w:link w:val="NotesChar"/>
    <w:qFormat/>
    <w:rsid w:val="00BB71EC"/>
    <w:pPr>
      <w:tabs>
        <w:tab w:val="left" w:pos="454"/>
      </w:tabs>
      <w:spacing w:after="0"/>
      <w:ind w:left="461" w:hanging="461"/>
    </w:pPr>
    <w:rPr>
      <w:rFonts w:ascii="Calibri" w:hAnsi="Calibri"/>
      <w:i/>
      <w:sz w:val="16"/>
    </w:rPr>
  </w:style>
  <w:style w:type="paragraph" w:customStyle="1" w:styleId="OGBullet">
    <w:name w:val="OGBullet"/>
    <w:basedOn w:val="Normal"/>
    <w:semiHidden/>
    <w:rsid w:val="00BB71EC"/>
    <w:pPr>
      <w:numPr>
        <w:numId w:val="3"/>
      </w:numPr>
      <w:tabs>
        <w:tab w:val="clear" w:pos="926"/>
        <w:tab w:val="num" w:pos="360"/>
      </w:tabs>
      <w:ind w:left="360"/>
    </w:pPr>
    <w:rPr>
      <w:rFonts w:ascii="Calibri" w:hAnsi="Calibri"/>
      <w:sz w:val="22"/>
      <w:szCs w:val="18"/>
    </w:rPr>
  </w:style>
  <w:style w:type="paragraph" w:customStyle="1" w:styleId="OGHeading1">
    <w:name w:val="OGHeading1"/>
    <w:basedOn w:val="Normal"/>
    <w:semiHidden/>
    <w:rsid w:val="00BB71EC"/>
    <w:rPr>
      <w:rFonts w:ascii="Calibri" w:hAnsi="Calibri"/>
      <w:b/>
      <w:sz w:val="34"/>
      <w:szCs w:val="28"/>
    </w:rPr>
  </w:style>
  <w:style w:type="paragraph" w:customStyle="1" w:styleId="OGHeading2">
    <w:name w:val="OGHeading2"/>
    <w:basedOn w:val="Normal"/>
    <w:link w:val="OGHeading2Char"/>
    <w:semiHidden/>
    <w:rsid w:val="00BB71EC"/>
    <w:pPr>
      <w:keepNext/>
      <w:spacing w:before="60"/>
    </w:pPr>
    <w:rPr>
      <w:rFonts w:ascii="Calibri" w:hAnsi="Calibri"/>
      <w:b/>
      <w:sz w:val="30"/>
      <w:szCs w:val="24"/>
    </w:rPr>
  </w:style>
  <w:style w:type="paragraph" w:customStyle="1" w:styleId="OGTabHead">
    <w:name w:val="OGTabHead"/>
    <w:basedOn w:val="Normal"/>
    <w:semiHidden/>
    <w:rsid w:val="00BB71EC"/>
    <w:pPr>
      <w:keepNext/>
      <w:keepLines/>
      <w:spacing w:before="30" w:after="30"/>
    </w:pPr>
    <w:rPr>
      <w:rFonts w:ascii="Calibri" w:hAnsi="Calibri"/>
      <w:i/>
      <w:sz w:val="22"/>
      <w:szCs w:val="18"/>
    </w:rPr>
  </w:style>
  <w:style w:type="paragraph" w:customStyle="1" w:styleId="OGTabText">
    <w:name w:val="OGTabText"/>
    <w:basedOn w:val="Normal"/>
    <w:link w:val="OGTabTextChar"/>
    <w:semiHidden/>
    <w:rsid w:val="00BB71EC"/>
    <w:pPr>
      <w:spacing w:before="30" w:after="30"/>
      <w:ind w:left="144"/>
    </w:pPr>
    <w:rPr>
      <w:rFonts w:ascii="Calibri" w:hAnsi="Calibri"/>
      <w:sz w:val="22"/>
      <w:szCs w:val="18"/>
    </w:rPr>
  </w:style>
  <w:style w:type="paragraph" w:customStyle="1" w:styleId="OGText">
    <w:name w:val="OGText"/>
    <w:basedOn w:val="Normal"/>
    <w:link w:val="OGTextChar"/>
    <w:semiHidden/>
    <w:rsid w:val="00BB71EC"/>
    <w:pPr>
      <w:keepNext/>
      <w:spacing w:before="40"/>
    </w:pPr>
    <w:rPr>
      <w:rFonts w:ascii="Calibri" w:hAnsi="Calibri"/>
      <w:sz w:val="22"/>
      <w:szCs w:val="18"/>
    </w:rPr>
  </w:style>
  <w:style w:type="character" w:styleId="PageNumber">
    <w:name w:val="page number"/>
    <w:rsid w:val="00BB71EC"/>
    <w:rPr>
      <w:rFonts w:ascii="Calibri" w:hAnsi="Calibri"/>
      <w:sz w:val="22"/>
    </w:rPr>
  </w:style>
  <w:style w:type="paragraph" w:customStyle="1" w:styleId="Source">
    <w:name w:val="Source"/>
    <w:basedOn w:val="Normal"/>
    <w:next w:val="Normal"/>
    <w:link w:val="SourceChar"/>
    <w:qFormat/>
    <w:locked/>
    <w:rsid w:val="00BB71EC"/>
    <w:rPr>
      <w:rFonts w:ascii="Calibri" w:hAnsi="Calibri"/>
      <w:i/>
      <w:sz w:val="16"/>
    </w:rPr>
  </w:style>
  <w:style w:type="paragraph" w:customStyle="1" w:styleId="TableofContentsheading">
    <w:name w:val="Table of Contents heading"/>
    <w:basedOn w:val="ChapterHeading"/>
    <w:next w:val="Normal"/>
    <w:rsid w:val="00901E03"/>
  </w:style>
  <w:style w:type="paragraph" w:customStyle="1" w:styleId="Heading2NotesContd">
    <w:name w:val="Heading 2 Notes Cont'd"/>
    <w:basedOn w:val="Heading2Notes"/>
    <w:rsid w:val="00901E03"/>
  </w:style>
  <w:style w:type="paragraph" w:customStyle="1" w:styleId="HighlightBoxText">
    <w:name w:val="Highlight Box Text"/>
    <w:basedOn w:val="HighlightBoxBullet"/>
    <w:qFormat/>
    <w:rsid w:val="00901E03"/>
    <w:pPr>
      <w:numPr>
        <w:numId w:val="0"/>
      </w:numPr>
    </w:pPr>
  </w:style>
  <w:style w:type="paragraph" w:styleId="TOC1">
    <w:name w:val="toc 1"/>
    <w:basedOn w:val="Normal"/>
    <w:next w:val="Normal"/>
    <w:uiPriority w:val="39"/>
    <w:rsid w:val="00B36BA0"/>
    <w:pPr>
      <w:tabs>
        <w:tab w:val="right" w:leader="dot" w:pos="9185"/>
      </w:tabs>
      <w:spacing w:before="40" w:after="40"/>
      <w:ind w:right="422"/>
    </w:pPr>
    <w:rPr>
      <w:rFonts w:ascii="Calibri" w:hAnsi="Calibri"/>
      <w:b/>
    </w:rPr>
  </w:style>
  <w:style w:type="paragraph" w:styleId="TOC2">
    <w:name w:val="toc 2"/>
    <w:basedOn w:val="Normal"/>
    <w:next w:val="Normal"/>
    <w:uiPriority w:val="39"/>
    <w:rsid w:val="00B36BA0"/>
    <w:pPr>
      <w:tabs>
        <w:tab w:val="right" w:leader="dot" w:pos="9185"/>
      </w:tabs>
      <w:spacing w:after="0"/>
      <w:ind w:left="288" w:right="422"/>
    </w:pPr>
    <w:rPr>
      <w:rFonts w:ascii="Calibri" w:hAnsi="Calibri"/>
      <w:sz w:val="22"/>
    </w:rPr>
  </w:style>
  <w:style w:type="paragraph" w:styleId="TOC3">
    <w:name w:val="toc 3"/>
    <w:basedOn w:val="Normal"/>
    <w:next w:val="Normal"/>
    <w:rsid w:val="00BB71EC"/>
    <w:pPr>
      <w:tabs>
        <w:tab w:val="right" w:leader="dot" w:pos="7830"/>
      </w:tabs>
      <w:spacing w:after="0"/>
      <w:ind w:left="432" w:right="422"/>
    </w:pPr>
    <w:rPr>
      <w:rFonts w:ascii="Calibri" w:hAnsi="Calibri"/>
      <w:i/>
      <w:sz w:val="22"/>
    </w:rPr>
  </w:style>
  <w:style w:type="paragraph" w:styleId="TOC4">
    <w:name w:val="toc 4"/>
    <w:basedOn w:val="TOC1"/>
    <w:next w:val="Normal"/>
    <w:uiPriority w:val="39"/>
    <w:rsid w:val="00742218"/>
    <w:pPr>
      <w:tabs>
        <w:tab w:val="right" w:leader="dot" w:pos="9533"/>
      </w:tabs>
      <w:spacing w:after="0"/>
      <w:ind w:left="1152" w:hanging="1152"/>
    </w:pPr>
    <w:rPr>
      <w:b w:val="0"/>
      <w:sz w:val="22"/>
    </w:rPr>
  </w:style>
  <w:style w:type="paragraph" w:styleId="TOC5">
    <w:name w:val="toc 5"/>
    <w:basedOn w:val="TOC1"/>
    <w:next w:val="Normal"/>
    <w:rsid w:val="00742218"/>
    <w:rPr>
      <w:b w:val="0"/>
      <w:sz w:val="22"/>
    </w:rPr>
  </w:style>
  <w:style w:type="paragraph" w:customStyle="1" w:styleId="Tableheadingcontinued">
    <w:name w:val="Table heading continued"/>
    <w:basedOn w:val="Tableheading"/>
    <w:rsid w:val="00901E03"/>
  </w:style>
  <w:style w:type="paragraph" w:customStyle="1" w:styleId="TableTextCentred">
    <w:name w:val="Table Text Centred"/>
    <w:basedOn w:val="Tabletext"/>
    <w:rsid w:val="00901E03"/>
    <w:pPr>
      <w:ind w:left="0" w:firstLine="0"/>
      <w:jc w:val="center"/>
    </w:pPr>
  </w:style>
  <w:style w:type="paragraph" w:customStyle="1" w:styleId="Heading3Numbering">
    <w:name w:val="Heading 3 Numbering"/>
    <w:basedOn w:val="Heading3"/>
    <w:rsid w:val="009C433E"/>
    <w:pPr>
      <w:numPr>
        <w:numId w:val="6"/>
      </w:numPr>
      <w:tabs>
        <w:tab w:val="left" w:pos="504"/>
      </w:tabs>
    </w:pPr>
  </w:style>
  <w:style w:type="paragraph" w:customStyle="1" w:styleId="Heading5a">
    <w:name w:val="Heading 5a"/>
    <w:basedOn w:val="Heading5"/>
    <w:rsid w:val="00BB71EC"/>
    <w:pPr>
      <w:tabs>
        <w:tab w:val="clear" w:pos="504"/>
      </w:tabs>
    </w:pPr>
    <w:rPr>
      <w:b w:val="0"/>
      <w:i/>
      <w:sz w:val="23"/>
    </w:rPr>
  </w:style>
  <w:style w:type="character" w:customStyle="1" w:styleId="OGTabBulletChar">
    <w:name w:val="OGTabBullet Char"/>
    <w:link w:val="OGTabBullet"/>
    <w:semiHidden/>
    <w:rsid w:val="000F532A"/>
    <w:rPr>
      <w:rFonts w:ascii="Calibri" w:hAnsi="Calibri"/>
      <w:sz w:val="22"/>
      <w:szCs w:val="18"/>
    </w:rPr>
  </w:style>
  <w:style w:type="paragraph" w:customStyle="1" w:styleId="OGTabBullet">
    <w:name w:val="OGTabBullet"/>
    <w:basedOn w:val="OGBullet"/>
    <w:link w:val="OGTabBulletChar"/>
    <w:semiHidden/>
    <w:rsid w:val="000F532A"/>
    <w:pPr>
      <w:numPr>
        <w:numId w:val="5"/>
      </w:numPr>
      <w:tabs>
        <w:tab w:val="clear" w:pos="1492"/>
        <w:tab w:val="num" w:pos="605"/>
      </w:tabs>
      <w:spacing w:before="30" w:after="30"/>
      <w:ind w:left="605"/>
    </w:pPr>
    <w:rPr>
      <w:lang w:eastAsia="en-AU"/>
    </w:rPr>
  </w:style>
  <w:style w:type="paragraph" w:customStyle="1" w:styleId="TabletextheadingCentred">
    <w:name w:val="Table text heading Centred"/>
    <w:basedOn w:val="Tabletextheading"/>
    <w:link w:val="TabletextheadingCentredChar"/>
    <w:rsid w:val="00901E03"/>
    <w:pPr>
      <w:jc w:val="center"/>
    </w:pPr>
  </w:style>
  <w:style w:type="paragraph" w:customStyle="1" w:styleId="DashText">
    <w:name w:val="Dash Text"/>
    <w:basedOn w:val="Normal"/>
    <w:qFormat/>
    <w:rsid w:val="00901E03"/>
    <w:pPr>
      <w:numPr>
        <w:ilvl w:val="1"/>
        <w:numId w:val="1"/>
      </w:numPr>
      <w:tabs>
        <w:tab w:val="clear" w:pos="360"/>
        <w:tab w:val="num" w:pos="720"/>
      </w:tabs>
      <w:ind w:left="720"/>
    </w:pPr>
  </w:style>
  <w:style w:type="paragraph" w:customStyle="1" w:styleId="VersionTableText">
    <w:name w:val="VersionTableText"/>
    <w:basedOn w:val="Normal"/>
    <w:rsid w:val="00206EB5"/>
    <w:pPr>
      <w:spacing w:after="0"/>
      <w:jc w:val="center"/>
    </w:pPr>
    <w:rPr>
      <w:rFonts w:ascii="Calibri" w:hAnsi="Calibri"/>
      <w:sz w:val="22"/>
    </w:rPr>
  </w:style>
  <w:style w:type="paragraph" w:customStyle="1" w:styleId="VersionTableHeading">
    <w:name w:val="VersionTableHeading"/>
    <w:basedOn w:val="Normal"/>
    <w:rsid w:val="00206EB5"/>
    <w:pPr>
      <w:spacing w:after="0"/>
      <w:jc w:val="center"/>
    </w:pPr>
    <w:rPr>
      <w:rFonts w:ascii="Calibri" w:hAnsi="Calibri"/>
      <w:b/>
      <w:sz w:val="22"/>
    </w:rPr>
  </w:style>
  <w:style w:type="paragraph" w:customStyle="1" w:styleId="NotesIndent">
    <w:name w:val="NotesIndent"/>
    <w:basedOn w:val="Notes"/>
    <w:rsid w:val="00901E03"/>
    <w:pPr>
      <w:ind w:left="915"/>
    </w:pPr>
  </w:style>
  <w:style w:type="paragraph" w:customStyle="1" w:styleId="NotesDash">
    <w:name w:val="NotesDash"/>
    <w:basedOn w:val="NotesIndent"/>
    <w:rsid w:val="002421E4"/>
    <w:pPr>
      <w:numPr>
        <w:numId w:val="8"/>
      </w:numPr>
      <w:tabs>
        <w:tab w:val="clear" w:pos="454"/>
        <w:tab w:val="clear" w:pos="922"/>
        <w:tab w:val="num" w:pos="692"/>
      </w:tabs>
      <w:ind w:left="692" w:hanging="238"/>
    </w:pPr>
    <w:rPr>
      <w:rFonts w:eastAsiaTheme="minorEastAsia"/>
      <w:lang w:eastAsia="en-AU"/>
    </w:rPr>
  </w:style>
  <w:style w:type="paragraph" w:customStyle="1" w:styleId="VAGOText">
    <w:name w:val="VAGOText"/>
    <w:basedOn w:val="Normal"/>
    <w:semiHidden/>
    <w:rsid w:val="00901E03"/>
    <w:pPr>
      <w:spacing w:before="120"/>
    </w:pPr>
    <w:rPr>
      <w:rFonts w:ascii="Arial" w:hAnsi="Arial" w:cs="Arial"/>
      <w:sz w:val="16"/>
      <w:szCs w:val="16"/>
    </w:rPr>
  </w:style>
  <w:style w:type="paragraph" w:customStyle="1" w:styleId="VAGOHeading2">
    <w:name w:val="VAGOHeading2"/>
    <w:basedOn w:val="Normal"/>
    <w:semiHidden/>
    <w:rsid w:val="00901E03"/>
    <w:rPr>
      <w:rFonts w:ascii="Arial" w:hAnsi="Arial" w:cs="Arial"/>
      <w:b/>
      <w:sz w:val="16"/>
      <w:szCs w:val="16"/>
    </w:rPr>
  </w:style>
  <w:style w:type="paragraph" w:customStyle="1" w:styleId="VAGOHeading1">
    <w:name w:val="VAGOHeading1"/>
    <w:basedOn w:val="Normal"/>
    <w:semiHidden/>
    <w:rsid w:val="00901E03"/>
    <w:pPr>
      <w:jc w:val="center"/>
    </w:pPr>
    <w:rPr>
      <w:rFonts w:ascii="Arial" w:hAnsi="Arial" w:cs="Arial"/>
      <w:b/>
      <w:sz w:val="17"/>
      <w:szCs w:val="17"/>
    </w:rPr>
  </w:style>
  <w:style w:type="paragraph" w:customStyle="1" w:styleId="VAGOHeading3">
    <w:name w:val="VAGOHeading3"/>
    <w:basedOn w:val="VAGOHeading2"/>
    <w:semiHidden/>
    <w:rsid w:val="00901E03"/>
    <w:rPr>
      <w:b w:val="0"/>
      <w:i/>
    </w:rPr>
  </w:style>
  <w:style w:type="character" w:customStyle="1" w:styleId="TableheadingChar">
    <w:name w:val="Table heading Char"/>
    <w:link w:val="Tableheading"/>
    <w:rsid w:val="009E5C53"/>
    <w:rPr>
      <w:rFonts w:ascii="Calibri" w:hAnsi="Calibri"/>
      <w:b/>
      <w:sz w:val="25"/>
      <w:lang w:eastAsia="en-US"/>
    </w:rPr>
  </w:style>
  <w:style w:type="paragraph" w:customStyle="1" w:styleId="TabletextheadingLeft">
    <w:name w:val="Table text heading Left"/>
    <w:basedOn w:val="Tabletextheading"/>
    <w:rsid w:val="00901E03"/>
    <w:pPr>
      <w:jc w:val="left"/>
    </w:pPr>
  </w:style>
  <w:style w:type="paragraph" w:customStyle="1" w:styleId="Chartpara">
    <w:name w:val="Chart para"/>
    <w:basedOn w:val="Normal"/>
    <w:semiHidden/>
    <w:rsid w:val="00901E03"/>
    <w:pPr>
      <w:spacing w:after="0"/>
    </w:pPr>
  </w:style>
  <w:style w:type="paragraph" w:customStyle="1" w:styleId="FrontPage">
    <w:name w:val="Front Page"/>
    <w:basedOn w:val="Normal"/>
    <w:semiHidden/>
    <w:rsid w:val="00C2380B"/>
    <w:pPr>
      <w:jc w:val="center"/>
    </w:pPr>
    <w:rPr>
      <w:rFonts w:ascii="Calibri" w:hAnsi="Calibri"/>
      <w:b/>
      <w:sz w:val="54"/>
      <w:szCs w:val="52"/>
    </w:rPr>
  </w:style>
  <w:style w:type="paragraph" w:customStyle="1" w:styleId="FrontPage2">
    <w:name w:val="Front Page 2"/>
    <w:basedOn w:val="FrontPage"/>
    <w:semiHidden/>
    <w:rsid w:val="00901E03"/>
    <w:pPr>
      <w:pBdr>
        <w:bottom w:val="single" w:sz="12" w:space="1" w:color="auto"/>
      </w:pBdr>
    </w:pPr>
  </w:style>
  <w:style w:type="paragraph" w:customStyle="1" w:styleId="FrontPage3">
    <w:name w:val="Front Page 3"/>
    <w:basedOn w:val="Normal"/>
    <w:semiHidden/>
    <w:rsid w:val="00C2380B"/>
    <w:pPr>
      <w:jc w:val="center"/>
    </w:pPr>
    <w:rPr>
      <w:rFonts w:ascii="Calibri" w:hAnsi="Calibri"/>
      <w:sz w:val="30"/>
      <w:szCs w:val="28"/>
    </w:rPr>
  </w:style>
  <w:style w:type="paragraph" w:customStyle="1" w:styleId="FrontPageBP">
    <w:name w:val="Front Page BP"/>
    <w:basedOn w:val="Normal"/>
    <w:semiHidden/>
    <w:rsid w:val="00C2380B"/>
    <w:pPr>
      <w:jc w:val="center"/>
    </w:pPr>
    <w:rPr>
      <w:rFonts w:ascii="Calibri" w:hAnsi="Calibri"/>
      <w:b/>
      <w:sz w:val="34"/>
      <w:szCs w:val="32"/>
    </w:rPr>
  </w:style>
  <w:style w:type="paragraph" w:customStyle="1" w:styleId="FrontPageHon">
    <w:name w:val="Front Page Hon"/>
    <w:basedOn w:val="Normal"/>
    <w:semiHidden/>
    <w:rsid w:val="00C2380B"/>
    <w:pPr>
      <w:jc w:val="center"/>
    </w:pPr>
    <w:rPr>
      <w:rFonts w:ascii="Calibri" w:hAnsi="Calibri"/>
      <w:sz w:val="32"/>
      <w:szCs w:val="30"/>
    </w:rPr>
  </w:style>
  <w:style w:type="paragraph" w:customStyle="1" w:styleId="FrontPageMin">
    <w:name w:val="Front Page Min"/>
    <w:basedOn w:val="Normal"/>
    <w:semiHidden/>
    <w:rsid w:val="00C2380B"/>
    <w:pPr>
      <w:jc w:val="center"/>
    </w:pPr>
    <w:rPr>
      <w:rFonts w:ascii="Calibri" w:hAnsi="Calibri"/>
      <w:sz w:val="36"/>
      <w:szCs w:val="36"/>
    </w:rPr>
  </w:style>
  <w:style w:type="paragraph" w:customStyle="1" w:styleId="Heading2NotesQtrly">
    <w:name w:val="Heading 2 Notes Qtrly"/>
    <w:basedOn w:val="Heading2Notes"/>
    <w:rsid w:val="00901E03"/>
  </w:style>
  <w:style w:type="paragraph" w:customStyle="1" w:styleId="Heading3NumberingBP4">
    <w:name w:val="Heading 3 Numbering BP4"/>
    <w:basedOn w:val="Heading3Numbering"/>
    <w:semiHidden/>
    <w:rsid w:val="00901E03"/>
    <w:pPr>
      <w:numPr>
        <w:numId w:val="0"/>
      </w:numPr>
    </w:pPr>
  </w:style>
  <w:style w:type="paragraph" w:customStyle="1" w:styleId="HighlightBoxBullet">
    <w:name w:val="Highlight Box Bullet"/>
    <w:basedOn w:val="Normal"/>
    <w:qFormat/>
    <w:rsid w:val="00376DFB"/>
    <w:pPr>
      <w:numPr>
        <w:numId w:val="2"/>
      </w:numPr>
      <w:shd w:val="pct10" w:color="auto" w:fill="FFFFFF"/>
      <w:tabs>
        <w:tab w:val="clear" w:pos="360"/>
        <w:tab w:val="num" w:pos="90"/>
      </w:tabs>
      <w:spacing w:after="80"/>
      <w:ind w:left="357" w:hanging="357"/>
    </w:pPr>
  </w:style>
  <w:style w:type="paragraph" w:customStyle="1" w:styleId="HighlightBoxHeading">
    <w:name w:val="Highlight Box Heading"/>
    <w:basedOn w:val="Heading5a"/>
    <w:qFormat/>
    <w:rsid w:val="00901E03"/>
    <w:pPr>
      <w:shd w:val="clear" w:color="auto" w:fill="E6E6E6"/>
    </w:pPr>
  </w:style>
  <w:style w:type="paragraph" w:styleId="Index1">
    <w:name w:val="index 1"/>
    <w:basedOn w:val="Normal"/>
    <w:next w:val="Normal"/>
    <w:autoRedefine/>
    <w:semiHidden/>
    <w:rsid w:val="00901E03"/>
    <w:pPr>
      <w:spacing w:after="0"/>
      <w:ind w:left="220" w:hanging="220"/>
    </w:pPr>
    <w:rPr>
      <w:sz w:val="18"/>
      <w:szCs w:val="18"/>
    </w:rPr>
  </w:style>
  <w:style w:type="paragraph" w:styleId="Index2">
    <w:name w:val="index 2"/>
    <w:basedOn w:val="Normal"/>
    <w:next w:val="Normal"/>
    <w:autoRedefine/>
    <w:semiHidden/>
    <w:rsid w:val="00901E03"/>
    <w:pPr>
      <w:spacing w:after="0"/>
      <w:ind w:left="440" w:hanging="220"/>
    </w:pPr>
    <w:rPr>
      <w:sz w:val="18"/>
      <w:szCs w:val="18"/>
    </w:rPr>
  </w:style>
  <w:style w:type="paragraph" w:styleId="IndexHeading">
    <w:name w:val="index heading"/>
    <w:basedOn w:val="Normal"/>
    <w:next w:val="Index1"/>
    <w:semiHidden/>
    <w:rsid w:val="00901E03"/>
    <w:pPr>
      <w:spacing w:before="240"/>
      <w:jc w:val="center"/>
    </w:pPr>
    <w:rPr>
      <w:b/>
      <w:bCs/>
      <w:sz w:val="26"/>
      <w:szCs w:val="26"/>
    </w:rPr>
  </w:style>
  <w:style w:type="paragraph" w:styleId="NormalIndent">
    <w:name w:val="Normal Indent"/>
    <w:basedOn w:val="Normal"/>
    <w:locked/>
    <w:rsid w:val="00901E03"/>
    <w:pPr>
      <w:ind w:left="360"/>
    </w:pPr>
  </w:style>
  <w:style w:type="character" w:customStyle="1" w:styleId="OGHeading2Char">
    <w:name w:val="OGHeading2 Char"/>
    <w:link w:val="OGHeading2"/>
    <w:rsid w:val="00BB71EC"/>
    <w:rPr>
      <w:rFonts w:ascii="Calibri" w:hAnsi="Calibri"/>
      <w:b/>
      <w:sz w:val="30"/>
      <w:szCs w:val="24"/>
      <w:lang w:val="en-AU" w:eastAsia="en-US" w:bidi="ar-SA"/>
    </w:rPr>
  </w:style>
  <w:style w:type="paragraph" w:customStyle="1" w:styleId="OGNotes">
    <w:name w:val="OGNotes"/>
    <w:basedOn w:val="NotesIndent"/>
    <w:semiHidden/>
    <w:rsid w:val="00901E03"/>
    <w:pPr>
      <w:tabs>
        <w:tab w:val="clear" w:pos="454"/>
      </w:tabs>
      <w:spacing w:after="60"/>
      <w:ind w:left="360" w:right="115" w:firstLine="0"/>
    </w:pPr>
    <w:rPr>
      <w:lang w:eastAsia="en-AU"/>
    </w:rPr>
  </w:style>
  <w:style w:type="paragraph" w:customStyle="1" w:styleId="OGNotesIndent">
    <w:name w:val="OGNotesIndent"/>
    <w:basedOn w:val="OGNotes"/>
    <w:semiHidden/>
    <w:rsid w:val="00901E03"/>
    <w:pPr>
      <w:ind w:left="720" w:hanging="360"/>
    </w:pPr>
  </w:style>
  <w:style w:type="paragraph" w:customStyle="1" w:styleId="OGUoM">
    <w:name w:val="OGUoM"/>
    <w:basedOn w:val="TableTextCentred"/>
    <w:semiHidden/>
    <w:rsid w:val="00901E03"/>
    <w:pPr>
      <w:spacing w:before="30" w:after="30"/>
    </w:pPr>
  </w:style>
  <w:style w:type="paragraph" w:customStyle="1" w:styleId="OGTabColCentred">
    <w:name w:val="OGTabColCentred"/>
    <w:basedOn w:val="OGUoM"/>
    <w:semiHidden/>
    <w:rsid w:val="00901E03"/>
    <w:rPr>
      <w:b/>
      <w:lang w:eastAsia="en-AU"/>
    </w:rPr>
  </w:style>
  <w:style w:type="paragraph" w:customStyle="1" w:styleId="OGTableofFigures">
    <w:name w:val="OGTable of Figures"/>
    <w:basedOn w:val="TableofFigures"/>
    <w:semiHidden/>
    <w:rsid w:val="00901E03"/>
    <w:pPr>
      <w:spacing w:before="30" w:after="30"/>
    </w:pPr>
  </w:style>
  <w:style w:type="paragraph" w:customStyle="1" w:styleId="OGTabColRight">
    <w:name w:val="OGTabColRight"/>
    <w:basedOn w:val="OGTableofFigures"/>
    <w:semiHidden/>
    <w:rsid w:val="00901E03"/>
    <w:rPr>
      <w:b/>
    </w:rPr>
  </w:style>
  <w:style w:type="paragraph" w:customStyle="1" w:styleId="OGTabColLeft">
    <w:name w:val="OGTabColLeft"/>
    <w:basedOn w:val="OGTabColRight"/>
    <w:semiHidden/>
    <w:rsid w:val="00901E03"/>
    <w:pPr>
      <w:jc w:val="left"/>
    </w:pPr>
    <w:rPr>
      <w:lang w:eastAsia="en-AU"/>
    </w:rPr>
  </w:style>
  <w:style w:type="character" w:customStyle="1" w:styleId="OGTabTextChar">
    <w:name w:val="OGTabText Char"/>
    <w:link w:val="OGTabText"/>
    <w:rsid w:val="00BB71EC"/>
    <w:rPr>
      <w:rFonts w:ascii="Calibri" w:hAnsi="Calibri"/>
      <w:sz w:val="22"/>
      <w:szCs w:val="18"/>
      <w:lang w:val="en-AU" w:eastAsia="en-US" w:bidi="ar-SA"/>
    </w:rPr>
  </w:style>
  <w:style w:type="character" w:customStyle="1" w:styleId="OGTextChar">
    <w:name w:val="OGText Char"/>
    <w:link w:val="OGText"/>
    <w:rsid w:val="00BB71EC"/>
    <w:rPr>
      <w:rFonts w:ascii="Calibri" w:hAnsi="Calibri"/>
      <w:sz w:val="22"/>
      <w:szCs w:val="18"/>
      <w:lang w:val="en-AU" w:eastAsia="en-US" w:bidi="ar-SA"/>
    </w:rPr>
  </w:style>
  <w:style w:type="paragraph" w:customStyle="1" w:styleId="TableofContentscontinued">
    <w:name w:val="Table of Contents continued"/>
    <w:basedOn w:val="Normal"/>
    <w:rsid w:val="00BB71EC"/>
    <w:pPr>
      <w:keepNext/>
      <w:tabs>
        <w:tab w:val="left" w:pos="1152"/>
      </w:tabs>
      <w:spacing w:before="240"/>
      <w:ind w:left="1152" w:hanging="1152"/>
      <w:outlineLvl w:val="1"/>
    </w:pPr>
    <w:rPr>
      <w:rFonts w:ascii="Calibri" w:hAnsi="Calibri"/>
      <w:b/>
      <w:kern w:val="28"/>
      <w:sz w:val="28"/>
      <w:szCs w:val="22"/>
    </w:rPr>
  </w:style>
  <w:style w:type="character" w:customStyle="1" w:styleId="TableofFiguresChar">
    <w:name w:val="Table of Figures Char"/>
    <w:link w:val="TableofFigures"/>
    <w:rsid w:val="0093166C"/>
    <w:rPr>
      <w:rFonts w:ascii="Calibri" w:hAnsi="Calibri"/>
      <w:sz w:val="22"/>
      <w:szCs w:val="18"/>
      <w:lang w:eastAsia="en-US"/>
    </w:rPr>
  </w:style>
  <w:style w:type="paragraph" w:customStyle="1" w:styleId="TableTextindent">
    <w:name w:val="Table Text indent"/>
    <w:basedOn w:val="Tabletext"/>
    <w:rsid w:val="00901E03"/>
    <w:pPr>
      <w:ind w:left="360" w:firstLine="0"/>
    </w:pPr>
  </w:style>
  <w:style w:type="paragraph" w:customStyle="1" w:styleId="TableTextindent2">
    <w:name w:val="Table Text indent 2"/>
    <w:basedOn w:val="TableTextindent"/>
    <w:rsid w:val="00901E03"/>
    <w:pPr>
      <w:ind w:left="720"/>
    </w:pPr>
  </w:style>
  <w:style w:type="paragraph" w:customStyle="1" w:styleId="VAGOBullet">
    <w:name w:val="VAGOBullet"/>
    <w:basedOn w:val="VAGOText"/>
    <w:semiHidden/>
    <w:rsid w:val="00901E03"/>
    <w:pPr>
      <w:numPr>
        <w:numId w:val="4"/>
      </w:numPr>
      <w:tabs>
        <w:tab w:val="clear" w:pos="1209"/>
        <w:tab w:val="num" w:pos="426"/>
      </w:tabs>
      <w:ind w:left="426" w:right="-51"/>
    </w:pPr>
    <w:rPr>
      <w:iCs/>
    </w:rPr>
  </w:style>
  <w:style w:type="character" w:customStyle="1" w:styleId="TabletextChar">
    <w:name w:val="Table text Char"/>
    <w:link w:val="Tabletext"/>
    <w:rsid w:val="00630FB1"/>
    <w:rPr>
      <w:rFonts w:ascii="Calibri" w:hAnsi="Calibri"/>
      <w:sz w:val="22"/>
      <w:szCs w:val="18"/>
      <w:lang w:eastAsia="en-US"/>
    </w:rPr>
  </w:style>
  <w:style w:type="character" w:customStyle="1" w:styleId="millionChar">
    <w:name w:val="$million Char"/>
    <w:link w:val="million"/>
    <w:rsid w:val="00B208AA"/>
    <w:rPr>
      <w:rFonts w:ascii="Calibri" w:hAnsi="Calibri"/>
      <w:i/>
      <w:szCs w:val="18"/>
      <w:lang w:val="en-AU" w:eastAsia="en-US" w:bidi="ar-SA"/>
    </w:rPr>
  </w:style>
  <w:style w:type="character" w:customStyle="1" w:styleId="TabletextheadingChar">
    <w:name w:val="Table text heading Char"/>
    <w:link w:val="Tabletextheading"/>
    <w:locked/>
    <w:rsid w:val="00B208AA"/>
    <w:rPr>
      <w:rFonts w:ascii="Calibri" w:hAnsi="Calibri"/>
      <w:i/>
      <w:sz w:val="24"/>
      <w:szCs w:val="18"/>
      <w:lang w:val="en-AU" w:eastAsia="en-US" w:bidi="ar-SA"/>
    </w:rPr>
  </w:style>
  <w:style w:type="character" w:customStyle="1" w:styleId="SourceChar">
    <w:name w:val="Source Char"/>
    <w:link w:val="Source"/>
    <w:locked/>
    <w:rsid w:val="00B208AA"/>
    <w:rPr>
      <w:rFonts w:ascii="Calibri" w:hAnsi="Calibri"/>
      <w:i/>
      <w:sz w:val="16"/>
      <w:lang w:val="en-AU" w:eastAsia="en-US" w:bidi="ar-SA"/>
    </w:rPr>
  </w:style>
  <w:style w:type="character" w:customStyle="1" w:styleId="TabletextheadingCentredChar">
    <w:name w:val="Table text heading Centred Char"/>
    <w:link w:val="TabletextheadingCentred"/>
    <w:locked/>
    <w:rsid w:val="00C4543A"/>
    <w:rPr>
      <w:rFonts w:ascii="Calibri" w:hAnsi="Calibri"/>
      <w:i/>
      <w:sz w:val="24"/>
      <w:szCs w:val="18"/>
      <w:lang w:val="en-AU" w:eastAsia="en-US" w:bidi="ar-SA"/>
    </w:rPr>
  </w:style>
  <w:style w:type="character" w:styleId="Hyperlink">
    <w:name w:val="Hyperlink"/>
    <w:uiPriority w:val="99"/>
    <w:unhideWhenUsed/>
    <w:locked/>
    <w:rsid w:val="00283E0D"/>
    <w:rPr>
      <w:color w:val="0000FF"/>
      <w:u w:val="single"/>
    </w:rPr>
  </w:style>
  <w:style w:type="character" w:customStyle="1" w:styleId="BulletTextChar">
    <w:name w:val="Bullet Text Char"/>
    <w:link w:val="BulletText"/>
    <w:locked/>
    <w:rsid w:val="00FC6048"/>
    <w:rPr>
      <w:rFonts w:ascii="Garamond" w:hAnsi="Garamond"/>
      <w:sz w:val="24"/>
      <w:lang w:eastAsia="en-US"/>
    </w:rPr>
  </w:style>
  <w:style w:type="paragraph" w:styleId="BalloonText">
    <w:name w:val="Balloon Text"/>
    <w:basedOn w:val="Normal"/>
    <w:link w:val="BalloonTextChar"/>
    <w:locked/>
    <w:rsid w:val="00D41CAA"/>
    <w:pPr>
      <w:spacing w:after="0"/>
    </w:pPr>
    <w:rPr>
      <w:rFonts w:ascii="Tahoma" w:hAnsi="Tahoma" w:cs="Tahoma"/>
      <w:sz w:val="16"/>
      <w:szCs w:val="16"/>
    </w:rPr>
  </w:style>
  <w:style w:type="character" w:customStyle="1" w:styleId="BalloonTextChar">
    <w:name w:val="Balloon Text Char"/>
    <w:basedOn w:val="DefaultParagraphFont"/>
    <w:link w:val="BalloonText"/>
    <w:rsid w:val="00D41CAA"/>
    <w:rPr>
      <w:rFonts w:ascii="Tahoma" w:hAnsi="Tahoma" w:cs="Tahoma"/>
      <w:sz w:val="16"/>
      <w:szCs w:val="16"/>
      <w:lang w:eastAsia="en-US"/>
    </w:rPr>
  </w:style>
  <w:style w:type="paragraph" w:styleId="ListParagraph">
    <w:name w:val="List Paragraph"/>
    <w:basedOn w:val="Normal"/>
    <w:uiPriority w:val="34"/>
    <w:rsid w:val="001F4568"/>
    <w:pPr>
      <w:ind w:left="720"/>
      <w:contextualSpacing/>
    </w:pPr>
  </w:style>
  <w:style w:type="character" w:customStyle="1" w:styleId="NotesChar">
    <w:name w:val="Notes Char"/>
    <w:link w:val="Notes"/>
    <w:locked/>
    <w:rsid w:val="00D169C6"/>
    <w:rPr>
      <w:rFonts w:ascii="Calibri" w:hAnsi="Calibri"/>
      <w:i/>
      <w:sz w:val="16"/>
      <w:lang w:eastAsia="en-US"/>
    </w:rPr>
  </w:style>
  <w:style w:type="paragraph" w:customStyle="1" w:styleId="OddFooterLandscape">
    <w:name w:val="OddFooterLandscape"/>
    <w:basedOn w:val="Footer"/>
    <w:qFormat/>
    <w:rsid w:val="00376DFB"/>
    <w:pPr>
      <w:pBdr>
        <w:top w:val="single" w:sz="6" w:space="0" w:color="auto"/>
      </w:pBdr>
      <w:tabs>
        <w:tab w:val="clear" w:pos="7085"/>
        <w:tab w:val="center" w:pos="5947"/>
        <w:tab w:val="right" w:pos="9634"/>
      </w:tabs>
    </w:pPr>
  </w:style>
  <w:style w:type="character" w:customStyle="1" w:styleId="Heading1Char">
    <w:name w:val="Heading 1 Char"/>
    <w:basedOn w:val="DefaultParagraphFont"/>
    <w:link w:val="Heading1"/>
    <w:rsid w:val="000679D5"/>
    <w:rPr>
      <w:rFonts w:ascii="Calibri" w:hAnsi="Calibri"/>
      <w:b/>
      <w:caps/>
      <w:sz w:val="28"/>
      <w:szCs w:val="22"/>
      <w:lang w:eastAsia="en-US"/>
    </w:rPr>
  </w:style>
  <w:style w:type="paragraph" w:customStyle="1" w:styleId="Heading1nonTOC">
    <w:name w:val="Heading 1 (non TOC)"/>
    <w:basedOn w:val="Heading1"/>
    <w:qFormat/>
    <w:rsid w:val="007D0381"/>
  </w:style>
  <w:style w:type="paragraph" w:customStyle="1" w:styleId="Heading2cont">
    <w:name w:val="Heading 2 (cont)"/>
    <w:basedOn w:val="Heading2"/>
    <w:qFormat/>
    <w:rsid w:val="00D05873"/>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43546">
      <w:bodyDiv w:val="1"/>
      <w:marLeft w:val="0"/>
      <w:marRight w:val="0"/>
      <w:marTop w:val="0"/>
      <w:marBottom w:val="0"/>
      <w:divBdr>
        <w:top w:val="none" w:sz="0" w:space="0" w:color="auto"/>
        <w:left w:val="none" w:sz="0" w:space="0" w:color="auto"/>
        <w:bottom w:val="none" w:sz="0" w:space="0" w:color="auto"/>
        <w:right w:val="none" w:sz="0" w:space="0" w:color="auto"/>
      </w:divBdr>
    </w:div>
    <w:div w:id="2527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8736</Words>
  <Characters>48713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Quarterly Financial Report No. 1</vt:lpstr>
    </vt:vector>
  </TitlesOfParts>
  <LinksUpToDate>false</LinksUpToDate>
  <CharactersWithSpaces>57335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No. 1</dc:title>
  <dc:creator/>
  <cp:lastModifiedBy/>
  <cp:revision>1</cp:revision>
  <dcterms:created xsi:type="dcterms:W3CDTF">2015-11-12T05:04:00Z</dcterms:created>
  <dcterms:modified xsi:type="dcterms:W3CDTF">2015-11-12T05:05:00Z</dcterms:modified>
</cp:coreProperties>
</file>