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6" w:rsidRDefault="00C53FC8" w:rsidP="00E80549">
      <w:pPr>
        <w:pStyle w:val="Title"/>
      </w:pPr>
      <w:bookmarkStart w:id="0" w:name="_Toc442780672"/>
      <w:bookmarkStart w:id="1" w:name="_GoBack"/>
      <w:bookmarkEnd w:id="1"/>
      <w:r>
        <w:t xml:space="preserve">Comparison </w:t>
      </w:r>
      <w:r w:rsidR="001B047C">
        <w:t>of</w:t>
      </w:r>
      <w:r>
        <w:t xml:space="preserve"> 2003 and 2016 Standing Directions</w:t>
      </w:r>
    </w:p>
    <w:p w:rsidR="00045296" w:rsidRDefault="001B047C" w:rsidP="001B047C">
      <w:bookmarkStart w:id="2" w:name="_Toc442780674"/>
      <w:r>
        <w:t xml:space="preserve">On 1 July 2016, the Standing Directions of the Minister for Finance 2003 (2003 Directions) will be replaced by the Standing Directions of the Minister for Finance 2016 (2016 Directions). This table illustrates where </w:t>
      </w:r>
      <w:r w:rsidR="00AF3038">
        <w:t xml:space="preserve">the </w:t>
      </w:r>
      <w:r>
        <w:t xml:space="preserve">2003 Directions have been </w:t>
      </w:r>
      <w:r w:rsidR="00AF3038">
        <w:t xml:space="preserve">incorporated </w:t>
      </w:r>
      <w:r>
        <w:t>in the 2016 Directions, and gives a summary of what has changed. The table does not comprehensively describe the 2016 Directions, and sho</w:t>
      </w:r>
      <w:r w:rsidR="00F33804">
        <w:t xml:space="preserve">uld not be used as a substitute </w:t>
      </w:r>
      <w:r>
        <w:t>for</w:t>
      </w:r>
      <w:r w:rsidR="00AF3038">
        <w:t xml:space="preserve"> reviewing</w:t>
      </w:r>
      <w:r>
        <w:t xml:space="preserve"> them. </w:t>
      </w:r>
    </w:p>
    <w:tbl>
      <w:tblPr>
        <w:tblStyle w:val="LightShading-Accent3"/>
        <w:tblW w:w="14350" w:type="dxa"/>
        <w:tblBorders>
          <w:left w:val="single" w:sz="8" w:space="0" w:color="749CC9" w:themeColor="accent3"/>
          <w:right w:val="single" w:sz="8" w:space="0" w:color="749CC9" w:themeColor="accent3"/>
          <w:insideH w:val="single" w:sz="6" w:space="0" w:color="749CC9" w:themeColor="accent3"/>
          <w:insideV w:val="single" w:sz="6" w:space="0" w:color="749CC9" w:themeColor="accent3"/>
        </w:tblBorders>
        <w:tblLayout w:type="fixed"/>
        <w:tblLook w:val="04A0" w:firstRow="1" w:lastRow="0" w:firstColumn="1" w:lastColumn="0" w:noHBand="0" w:noVBand="1"/>
      </w:tblPr>
      <w:tblGrid>
        <w:gridCol w:w="2552"/>
        <w:gridCol w:w="2693"/>
        <w:gridCol w:w="9105"/>
      </w:tblGrid>
      <w:tr w:rsidR="00AF3038" w:rsidTr="001B18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tcPr>
          <w:bookmarkEnd w:id="2"/>
          <w:p w:rsidR="00BA13B7" w:rsidRPr="00AF3038" w:rsidRDefault="00BA13B7" w:rsidP="001B047C">
            <w:pPr>
              <w:rPr>
                <w:rFonts w:ascii="Arial" w:hAnsi="Arial" w:cs="Arial"/>
              </w:rPr>
            </w:pPr>
            <w:r w:rsidRPr="00AF3038">
              <w:rPr>
                <w:rFonts w:ascii="Arial" w:hAnsi="Arial" w:cs="Arial"/>
              </w:rPr>
              <w:t>2003 Directions</w:t>
            </w:r>
          </w:p>
        </w:tc>
        <w:tc>
          <w:tcPr>
            <w:tcW w:w="2693" w:type="dxa"/>
            <w:tcBorders>
              <w:top w:val="none" w:sz="0" w:space="0" w:color="auto"/>
              <w:left w:val="none" w:sz="0" w:space="0" w:color="auto"/>
              <w:bottom w:val="none" w:sz="0" w:space="0" w:color="auto"/>
              <w:right w:val="none" w:sz="0" w:space="0" w:color="auto"/>
            </w:tcBorders>
          </w:tcPr>
          <w:p w:rsidR="00BA13B7" w:rsidRPr="00AF3038" w:rsidRDefault="00BA13B7" w:rsidP="001B047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F3038">
              <w:rPr>
                <w:rFonts w:ascii="Arial" w:hAnsi="Arial" w:cs="Arial"/>
              </w:rPr>
              <w:t>2016 Directions</w:t>
            </w:r>
            <w:r w:rsidR="003E52DC" w:rsidRPr="00AF3038">
              <w:rPr>
                <w:rFonts w:ascii="Arial" w:hAnsi="Arial" w:cs="Arial"/>
              </w:rPr>
              <w:t xml:space="preserve"> </w:t>
            </w:r>
          </w:p>
        </w:tc>
        <w:tc>
          <w:tcPr>
            <w:tcW w:w="9105" w:type="dxa"/>
            <w:tcBorders>
              <w:top w:val="none" w:sz="0" w:space="0" w:color="auto"/>
              <w:left w:val="none" w:sz="0" w:space="0" w:color="auto"/>
              <w:bottom w:val="none" w:sz="0" w:space="0" w:color="auto"/>
              <w:right w:val="none" w:sz="0" w:space="0" w:color="auto"/>
            </w:tcBorders>
          </w:tcPr>
          <w:p w:rsidR="00BA13B7" w:rsidRPr="00AF3038" w:rsidRDefault="00BA13B7" w:rsidP="00822E7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F3038">
              <w:rPr>
                <w:rFonts w:ascii="Arial" w:hAnsi="Arial" w:cs="Arial"/>
              </w:rPr>
              <w:t>What’s changed</w:t>
            </w:r>
          </w:p>
        </w:tc>
      </w:tr>
      <w:tr w:rsidR="00AF3038"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FE585D" w:rsidP="00822E7D">
            <w:pPr>
              <w:rPr>
                <w:rFonts w:ascii="Arial" w:hAnsi="Arial" w:cs="Arial"/>
                <w:b w:val="0"/>
                <w:color w:val="auto"/>
              </w:rPr>
            </w:pPr>
            <w:r>
              <w:rPr>
                <w:rFonts w:ascii="Arial" w:hAnsi="Arial" w:cs="Arial"/>
                <w:b w:val="0"/>
                <w:color w:val="auto"/>
              </w:rPr>
              <w:t xml:space="preserve">1 </w:t>
            </w:r>
            <w:r w:rsidR="006D2B68" w:rsidRPr="00AF3038">
              <w:rPr>
                <w:rFonts w:ascii="Arial" w:hAnsi="Arial" w:cs="Arial"/>
                <w:b w:val="0"/>
                <w:color w:val="auto"/>
              </w:rPr>
              <w:t>Introduction</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105"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7740F0" w:rsidRPr="00AF3038" w:rsidRDefault="007740F0" w:rsidP="00822E7D">
            <w:pPr>
              <w:rPr>
                <w:rFonts w:ascii="Arial" w:hAnsi="Arial" w:cs="Arial"/>
                <w:b w:val="0"/>
                <w:color w:val="auto"/>
              </w:rPr>
            </w:pPr>
            <w:r w:rsidRPr="00AF3038">
              <w:rPr>
                <w:rFonts w:ascii="Arial" w:hAnsi="Arial" w:cs="Arial"/>
                <w:b w:val="0"/>
                <w:color w:val="auto"/>
              </w:rPr>
              <w:t>1.1 Preliminary</w:t>
            </w:r>
          </w:p>
          <w:p w:rsidR="007740F0" w:rsidRPr="00AF3038" w:rsidRDefault="007740F0" w:rsidP="00822E7D">
            <w:pPr>
              <w:rPr>
                <w:rFonts w:ascii="Arial" w:hAnsi="Arial" w:cs="Arial"/>
                <w:b w:val="0"/>
                <w:color w:val="auto"/>
              </w:rPr>
            </w:pPr>
            <w:r w:rsidRPr="00AF3038">
              <w:rPr>
                <w:rFonts w:ascii="Arial" w:hAnsi="Arial" w:cs="Arial"/>
                <w:b w:val="0"/>
                <w:color w:val="auto"/>
              </w:rPr>
              <w:t>1.2 Background</w:t>
            </w:r>
          </w:p>
          <w:p w:rsidR="007740F0" w:rsidRPr="00AF3038" w:rsidRDefault="007740F0" w:rsidP="00822E7D">
            <w:pPr>
              <w:rPr>
                <w:rFonts w:ascii="Arial" w:hAnsi="Arial" w:cs="Arial"/>
                <w:b w:val="0"/>
                <w:color w:val="auto"/>
              </w:rPr>
            </w:pPr>
          </w:p>
        </w:tc>
        <w:tc>
          <w:tcPr>
            <w:tcW w:w="2693" w:type="dxa"/>
          </w:tcPr>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Introduction</w:t>
            </w:r>
          </w:p>
          <w:p w:rsidR="007740F0" w:rsidRPr="00AF3038" w:rsidRDefault="001264AF"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1 </w:t>
            </w:r>
            <w:r w:rsidR="007740F0" w:rsidRPr="00AF3038">
              <w:rPr>
                <w:rFonts w:ascii="Arial" w:hAnsi="Arial" w:cs="Arial"/>
                <w:color w:val="auto"/>
              </w:rPr>
              <w:t>Purpose and application</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1.1 Purpose</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1.2 Application</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1.3 Commencement</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1.4 Transitional arrangements</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1.5 Exemptions</w:t>
            </w:r>
          </w:p>
          <w:p w:rsidR="007740F0" w:rsidRPr="00AF3038" w:rsidRDefault="007740F0" w:rsidP="007740F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1.6 Definitions and interpretation</w:t>
            </w:r>
          </w:p>
          <w:p w:rsidR="006D2B68" w:rsidRDefault="007740F0" w:rsidP="007740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1.7 Order of precedence</w:t>
            </w:r>
          </w:p>
          <w:p w:rsidR="00110BAC" w:rsidRDefault="00110BAC" w:rsidP="00110BA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4.1.2 Performance management in Portfolio Departments</w:t>
            </w:r>
          </w:p>
          <w:p w:rsidR="00110BAC" w:rsidRDefault="00110BAC" w:rsidP="00110BA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4.3 Budget operations in Portfolio Departments</w:t>
            </w:r>
          </w:p>
          <w:p w:rsidR="00110BAC" w:rsidRPr="00AF3038" w:rsidRDefault="00110BAC" w:rsidP="007740F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 xml:space="preserve">4.4 </w:t>
            </w:r>
            <w:r w:rsidR="00600B02">
              <w:rPr>
                <w:rFonts w:ascii="Arial" w:hAnsi="Arial" w:cs="Arial"/>
                <w:color w:val="auto"/>
              </w:rPr>
              <w:t>Financial reporting operations in Portfolio Departments</w:t>
            </w:r>
          </w:p>
        </w:tc>
        <w:tc>
          <w:tcPr>
            <w:tcW w:w="9105" w:type="dxa"/>
          </w:tcPr>
          <w:p w:rsidR="00C069CD" w:rsidRPr="00AF3038" w:rsidRDefault="00AB2B37"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The s</w:t>
            </w:r>
            <w:r w:rsidR="00C069CD" w:rsidRPr="00AF3038">
              <w:rPr>
                <w:rFonts w:ascii="Arial" w:hAnsi="Arial" w:cs="Arial"/>
                <w:color w:val="auto"/>
              </w:rPr>
              <w:t>tructure</w:t>
            </w:r>
            <w:r w:rsidRPr="00AF3038">
              <w:rPr>
                <w:rFonts w:ascii="Arial" w:hAnsi="Arial" w:cs="Arial"/>
                <w:color w:val="auto"/>
              </w:rPr>
              <w:t xml:space="preserve"> has changed from the 2003 mandatory Directions </w:t>
            </w:r>
            <w:r w:rsidR="00792B6C">
              <w:rPr>
                <w:rFonts w:ascii="Arial" w:hAnsi="Arial" w:cs="Arial"/>
                <w:color w:val="auto"/>
              </w:rPr>
              <w:t xml:space="preserve">which </w:t>
            </w:r>
            <w:r w:rsidRPr="00AF3038">
              <w:rPr>
                <w:rFonts w:ascii="Arial" w:hAnsi="Arial" w:cs="Arial"/>
                <w:color w:val="auto"/>
              </w:rPr>
              <w:t>includ</w:t>
            </w:r>
            <w:r w:rsidR="00792B6C">
              <w:rPr>
                <w:rFonts w:ascii="Arial" w:hAnsi="Arial" w:cs="Arial"/>
                <w:color w:val="auto"/>
              </w:rPr>
              <w:t>ed</w:t>
            </w:r>
            <w:r w:rsidRPr="00AF3038">
              <w:rPr>
                <w:rFonts w:ascii="Arial" w:hAnsi="Arial" w:cs="Arial"/>
                <w:color w:val="auto"/>
              </w:rPr>
              <w:t xml:space="preserve"> detailed </w:t>
            </w:r>
            <w:r w:rsidR="00792B6C">
              <w:rPr>
                <w:rFonts w:ascii="Arial" w:hAnsi="Arial" w:cs="Arial"/>
                <w:color w:val="auto"/>
              </w:rPr>
              <w:t xml:space="preserve">mandatory </w:t>
            </w:r>
            <w:r w:rsidRPr="00AF3038">
              <w:rPr>
                <w:rFonts w:ascii="Arial" w:hAnsi="Arial" w:cs="Arial"/>
                <w:color w:val="auto"/>
              </w:rPr>
              <w:t xml:space="preserve">procedures </w:t>
            </w:r>
            <w:r w:rsidR="00792B6C">
              <w:rPr>
                <w:rFonts w:ascii="Arial" w:hAnsi="Arial" w:cs="Arial"/>
                <w:color w:val="auto"/>
              </w:rPr>
              <w:t xml:space="preserve">and non-mandatory guidelines </w:t>
            </w:r>
            <w:r w:rsidRPr="00AF3038">
              <w:rPr>
                <w:rFonts w:ascii="Arial" w:hAnsi="Arial" w:cs="Arial"/>
                <w:color w:val="auto"/>
              </w:rPr>
              <w:t>to:</w:t>
            </w:r>
          </w:p>
          <w:p w:rsidR="00AB2B37" w:rsidRPr="00AF3038" w:rsidRDefault="00AB2B37" w:rsidP="00561EC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Mandatory comprehensive high level Directions</w:t>
            </w:r>
            <w:r w:rsidR="00F33804">
              <w:rPr>
                <w:rFonts w:ascii="Arial" w:hAnsi="Arial" w:cs="Arial"/>
                <w:color w:val="auto"/>
              </w:rPr>
              <w:t>,</w:t>
            </w:r>
            <w:r w:rsidRPr="00AF3038">
              <w:rPr>
                <w:rFonts w:ascii="Arial" w:hAnsi="Arial" w:cs="Arial"/>
                <w:color w:val="auto"/>
              </w:rPr>
              <w:t xml:space="preserve"> issued by the Minister for Finance;</w:t>
            </w:r>
          </w:p>
          <w:p w:rsidR="00AB2B37" w:rsidRPr="00AF3038" w:rsidRDefault="00AB2B37" w:rsidP="00561EC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Mandatory Instructions, issued by DTF, covering specific risks in more detail; and</w:t>
            </w:r>
          </w:p>
          <w:p w:rsidR="00AB2B37" w:rsidRPr="00AF3038" w:rsidRDefault="00AB2B37" w:rsidP="00561EC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Non-mandatory Guidance, issued by DTF to support interpretation and implementation of the mandatory requirements.</w:t>
            </w:r>
          </w:p>
          <w:p w:rsidR="006D2B68" w:rsidRPr="00AF3038" w:rsidRDefault="000C22E5"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Clarifies</w:t>
            </w:r>
            <w:r w:rsidR="006D2B68" w:rsidRPr="00AF3038">
              <w:rPr>
                <w:rFonts w:ascii="Arial" w:hAnsi="Arial" w:cs="Arial"/>
                <w:color w:val="auto"/>
              </w:rPr>
              <w:t xml:space="preserve"> application of Directions to offices headed by an Independent Officers of the Parliament (e.g. Victorian Auditor-General’s Office)</w:t>
            </w:r>
            <w:r w:rsidR="00617AB1" w:rsidRPr="00AF3038">
              <w:rPr>
                <w:rFonts w:ascii="Arial" w:hAnsi="Arial" w:cs="Arial"/>
                <w:color w:val="auto"/>
              </w:rPr>
              <w:t xml:space="preserve"> and the </w:t>
            </w:r>
            <w:r w:rsidR="00933A08">
              <w:rPr>
                <w:rFonts w:ascii="Arial" w:hAnsi="Arial" w:cs="Arial"/>
                <w:color w:val="auto"/>
              </w:rPr>
              <w:t>Courts</w:t>
            </w:r>
            <w:r w:rsidR="006D2B68" w:rsidRPr="00AF3038">
              <w:rPr>
                <w:rFonts w:ascii="Arial" w:hAnsi="Arial" w:cs="Arial"/>
                <w:color w:val="auto"/>
              </w:rPr>
              <w:t>, taking into account their particular governance arrangements.</w:t>
            </w:r>
          </w:p>
          <w:p w:rsidR="006D2B68" w:rsidRPr="00AF3038" w:rsidRDefault="006D2B68"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Include</w:t>
            </w:r>
            <w:r w:rsidR="000C22E5" w:rsidRPr="00AF3038">
              <w:rPr>
                <w:rFonts w:ascii="Arial" w:hAnsi="Arial" w:cs="Arial"/>
                <w:color w:val="auto"/>
              </w:rPr>
              <w:t>s</w:t>
            </w:r>
            <w:r w:rsidRPr="00AF3038">
              <w:rPr>
                <w:rFonts w:ascii="Arial" w:hAnsi="Arial" w:cs="Arial"/>
                <w:color w:val="auto"/>
              </w:rPr>
              <w:t xml:space="preserve"> a glossary and new definitions to enable better tailoring of requirements including ‘</w:t>
            </w:r>
            <w:r w:rsidR="00190AE1">
              <w:rPr>
                <w:rFonts w:ascii="Arial" w:hAnsi="Arial" w:cs="Arial"/>
                <w:color w:val="auto"/>
              </w:rPr>
              <w:t>Portfolio department</w:t>
            </w:r>
            <w:r w:rsidRPr="00AF3038">
              <w:rPr>
                <w:rFonts w:ascii="Arial" w:hAnsi="Arial" w:cs="Arial"/>
                <w:color w:val="auto"/>
              </w:rPr>
              <w:t>’, ‘I</w:t>
            </w:r>
            <w:r w:rsidR="00110BAC">
              <w:rPr>
                <w:rFonts w:ascii="Arial" w:hAnsi="Arial" w:cs="Arial"/>
                <w:color w:val="auto"/>
              </w:rPr>
              <w:t>ndependent Officers</w:t>
            </w:r>
            <w:r w:rsidRPr="00AF3038">
              <w:rPr>
                <w:rFonts w:ascii="Arial" w:hAnsi="Arial" w:cs="Arial"/>
                <w:color w:val="auto"/>
              </w:rPr>
              <w:t>’ and ‘Responsible Minister’.</w:t>
            </w:r>
          </w:p>
          <w:p w:rsidR="006D2B68" w:rsidRPr="00AF3038" w:rsidRDefault="006D2B68"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lang w:eastAsia="en-US"/>
              </w:rPr>
              <w:t>Articulate</w:t>
            </w:r>
            <w:r w:rsidR="000C22E5" w:rsidRPr="00AF3038">
              <w:rPr>
                <w:rFonts w:ascii="Arial" w:hAnsi="Arial" w:cs="Arial"/>
                <w:color w:val="auto"/>
                <w:lang w:eastAsia="en-US"/>
              </w:rPr>
              <w:t>s</w:t>
            </w:r>
            <w:r w:rsidRPr="00AF3038">
              <w:rPr>
                <w:rFonts w:ascii="Arial" w:hAnsi="Arial" w:cs="Arial"/>
                <w:color w:val="auto"/>
                <w:lang w:eastAsia="en-US"/>
              </w:rPr>
              <w:t xml:space="preserve"> a more succinct, targeted set of desired financial management objectives and key controls. These are the minimum requirements that apply to all agencies, but are intended to provide sufficient flexibility to allow agencies of different sizes and scope to tailor application</w:t>
            </w:r>
            <w:r w:rsidRPr="00AF3038">
              <w:rPr>
                <w:rFonts w:ascii="Arial" w:hAnsi="Arial" w:cs="Arial"/>
                <w:color w:val="auto"/>
              </w:rPr>
              <w:t>.</w:t>
            </w:r>
          </w:p>
          <w:p w:rsidR="007740F0" w:rsidRPr="00AF3038" w:rsidRDefault="007740F0"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Transitional</w:t>
            </w:r>
            <w:r w:rsidR="00501882" w:rsidRPr="00AF3038">
              <w:rPr>
                <w:rFonts w:ascii="Arial" w:hAnsi="Arial" w:cs="Arial"/>
                <w:color w:val="auto"/>
              </w:rPr>
              <w:t xml:space="preserve"> provisions are included for certain new requirements</w:t>
            </w:r>
            <w:r w:rsidR="00110BAC">
              <w:rPr>
                <w:rFonts w:ascii="Arial" w:hAnsi="Arial" w:cs="Arial"/>
                <w:color w:val="auto"/>
              </w:rPr>
              <w:t xml:space="preserve">, </w:t>
            </w:r>
            <w:r w:rsidR="00FE585D">
              <w:rPr>
                <w:rFonts w:ascii="Arial" w:hAnsi="Arial" w:cs="Arial"/>
                <w:color w:val="auto"/>
              </w:rPr>
              <w:t>such as</w:t>
            </w:r>
            <w:r w:rsidR="00110BAC">
              <w:rPr>
                <w:rFonts w:ascii="Arial" w:hAnsi="Arial" w:cs="Arial"/>
                <w:color w:val="auto"/>
              </w:rPr>
              <w:t xml:space="preserve"> CFO expertise and qualifications, planning and performance management, attestation etc.</w:t>
            </w:r>
          </w:p>
          <w:p w:rsidR="006D2B68" w:rsidRPr="00AF3038" w:rsidRDefault="00C069CD" w:rsidP="00561ECF">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To reflect existing practice</w:t>
            </w:r>
            <w:r w:rsidR="00B91478" w:rsidRPr="00AF3038">
              <w:rPr>
                <w:rFonts w:ascii="Arial" w:hAnsi="Arial" w:cs="Arial"/>
                <w:color w:val="auto"/>
              </w:rPr>
              <w:t xml:space="preserve"> certain agencies</w:t>
            </w:r>
            <w:r w:rsidR="006D2B68" w:rsidRPr="00AF3038">
              <w:rPr>
                <w:rFonts w:ascii="Arial" w:hAnsi="Arial" w:cs="Arial"/>
                <w:color w:val="auto"/>
              </w:rPr>
              <w:t xml:space="preserve"> </w:t>
            </w:r>
            <w:r w:rsidR="00933A08">
              <w:rPr>
                <w:rFonts w:ascii="Arial" w:hAnsi="Arial" w:cs="Arial"/>
                <w:color w:val="auto"/>
              </w:rPr>
              <w:t>(school councils, class B cemetery trusts</w:t>
            </w:r>
            <w:r w:rsidR="00F24B23">
              <w:rPr>
                <w:rFonts w:ascii="Arial" w:hAnsi="Arial" w:cs="Arial"/>
                <w:color w:val="auto"/>
              </w:rPr>
              <w:t>,</w:t>
            </w:r>
            <w:r w:rsidR="00933A08">
              <w:rPr>
                <w:rFonts w:ascii="Arial" w:hAnsi="Arial" w:cs="Arial"/>
                <w:color w:val="auto"/>
              </w:rPr>
              <w:t xml:space="preserve"> incorporated committees of management, VicSES </w:t>
            </w:r>
            <w:r w:rsidR="000833CF">
              <w:rPr>
                <w:rFonts w:ascii="Arial" w:hAnsi="Arial" w:cs="Arial"/>
                <w:color w:val="auto"/>
              </w:rPr>
              <w:t>registered units and CFA volunteer brigades)</w:t>
            </w:r>
            <w:r w:rsidR="00933A08">
              <w:rPr>
                <w:rFonts w:ascii="Arial" w:hAnsi="Arial" w:cs="Arial"/>
                <w:color w:val="auto"/>
              </w:rPr>
              <w:t xml:space="preserve"> </w:t>
            </w:r>
            <w:r w:rsidR="00B91478" w:rsidRPr="00AF3038">
              <w:rPr>
                <w:rFonts w:ascii="Arial" w:hAnsi="Arial" w:cs="Arial"/>
                <w:color w:val="auto"/>
              </w:rPr>
              <w:t>are excluded from the Directions</w:t>
            </w:r>
            <w:r w:rsidR="004E3419" w:rsidRPr="00AF3038">
              <w:rPr>
                <w:rFonts w:ascii="Arial" w:hAnsi="Arial" w:cs="Arial"/>
                <w:color w:val="auto"/>
              </w:rPr>
              <w:t>,</w:t>
            </w:r>
            <w:r w:rsidR="00B91478" w:rsidRPr="00AF3038">
              <w:rPr>
                <w:rFonts w:ascii="Arial" w:hAnsi="Arial" w:cs="Arial"/>
                <w:color w:val="auto"/>
              </w:rPr>
              <w:t xml:space="preserve"> but are subject to appropriate financial management requirem</w:t>
            </w:r>
            <w:r w:rsidR="00501882" w:rsidRPr="00AF3038">
              <w:rPr>
                <w:rFonts w:ascii="Arial" w:hAnsi="Arial" w:cs="Arial"/>
                <w:color w:val="auto"/>
              </w:rPr>
              <w:t>e</w:t>
            </w:r>
            <w:r w:rsidR="00B91478" w:rsidRPr="00AF3038">
              <w:rPr>
                <w:rFonts w:ascii="Arial" w:hAnsi="Arial" w:cs="Arial"/>
                <w:color w:val="auto"/>
              </w:rPr>
              <w:t>nts</w:t>
            </w:r>
            <w:r w:rsidR="00501882" w:rsidRPr="00AF3038">
              <w:rPr>
                <w:rFonts w:ascii="Arial" w:hAnsi="Arial" w:cs="Arial"/>
                <w:color w:val="auto"/>
              </w:rPr>
              <w:t xml:space="preserve"> established by the</w:t>
            </w:r>
            <w:r w:rsidR="004E3419" w:rsidRPr="00AF3038">
              <w:rPr>
                <w:rFonts w:ascii="Arial" w:hAnsi="Arial" w:cs="Arial"/>
                <w:color w:val="auto"/>
              </w:rPr>
              <w:t>ir</w:t>
            </w:r>
            <w:r w:rsidR="00190AE1">
              <w:rPr>
                <w:rFonts w:ascii="Arial" w:hAnsi="Arial" w:cs="Arial"/>
                <w:color w:val="auto"/>
              </w:rPr>
              <w:t xml:space="preserve"> portfolio department</w:t>
            </w:r>
            <w:r w:rsidR="000833CF">
              <w:rPr>
                <w:rFonts w:ascii="Arial" w:hAnsi="Arial" w:cs="Arial"/>
                <w:color w:val="auto"/>
              </w:rPr>
              <w:t xml:space="preserve"> or relevant agency</w:t>
            </w:r>
            <w:r w:rsidR="007740F0" w:rsidRPr="00AF3038">
              <w:rPr>
                <w:rFonts w:ascii="Arial" w:hAnsi="Arial" w:cs="Arial"/>
                <w:color w:val="auto"/>
              </w:rPr>
              <w:t>.</w:t>
            </w:r>
          </w:p>
          <w:p w:rsidR="0096023C" w:rsidRDefault="00501882" w:rsidP="0096023C">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Similar to the 2003 Directions exemptions may be sought in exceptional circumstances.</w:t>
            </w:r>
          </w:p>
          <w:p w:rsidR="000833CF" w:rsidRDefault="00600B02" w:rsidP="0096023C">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Explicit provision that a</w:t>
            </w:r>
            <w:r w:rsidR="000833CF">
              <w:rPr>
                <w:rFonts w:ascii="Arial" w:hAnsi="Arial" w:cs="Arial"/>
                <w:color w:val="auto"/>
              </w:rPr>
              <w:t>gencies may develop systems procedures and practices tailored to their circumstances e.g. size and risk profile.</w:t>
            </w:r>
          </w:p>
          <w:p w:rsidR="00110BAC" w:rsidRDefault="000833CF" w:rsidP="00110BAC">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10BAC">
              <w:rPr>
                <w:rFonts w:ascii="Arial" w:hAnsi="Arial" w:cs="Arial"/>
                <w:color w:val="auto"/>
              </w:rPr>
              <w:t>In the event of conflict between requirements</w:t>
            </w:r>
            <w:r w:rsidR="00E83A99" w:rsidRPr="00110BAC">
              <w:rPr>
                <w:rFonts w:ascii="Arial" w:hAnsi="Arial" w:cs="Arial"/>
                <w:color w:val="auto"/>
              </w:rPr>
              <w:t xml:space="preserve"> e.g.</w:t>
            </w:r>
            <w:r w:rsidR="00110BAC" w:rsidRPr="00110BAC">
              <w:rPr>
                <w:rFonts w:ascii="Arial" w:hAnsi="Arial" w:cs="Arial"/>
                <w:color w:val="auto"/>
              </w:rPr>
              <w:t xml:space="preserve"> legislation and</w:t>
            </w:r>
            <w:r w:rsidR="00E83A99" w:rsidRPr="00110BAC">
              <w:rPr>
                <w:rFonts w:ascii="Arial" w:hAnsi="Arial" w:cs="Arial"/>
                <w:color w:val="auto"/>
              </w:rPr>
              <w:t xml:space="preserve"> Directions,</w:t>
            </w:r>
            <w:r w:rsidRPr="00110BAC">
              <w:rPr>
                <w:rFonts w:ascii="Arial" w:hAnsi="Arial" w:cs="Arial"/>
                <w:color w:val="auto"/>
              </w:rPr>
              <w:t xml:space="preserve"> an order of precedence is provided</w:t>
            </w:r>
            <w:r w:rsidR="00600B02">
              <w:rPr>
                <w:rFonts w:ascii="Arial" w:hAnsi="Arial" w:cs="Arial"/>
                <w:color w:val="auto"/>
              </w:rPr>
              <w:t>.</w:t>
            </w:r>
          </w:p>
          <w:p w:rsidR="000833CF" w:rsidRPr="00AF3038" w:rsidRDefault="00600B02" w:rsidP="00600B02">
            <w:pPr>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2003 Directions provided a mandate for the DTF Deputy Secretary to issue ‘business rules’. These have been replaced with a number of frameworks applicable to portfolio departments, including budget and financial reporting operations and performance management.</w:t>
            </w: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2 Financial management governance and o</w:t>
            </w:r>
            <w:r w:rsidR="006D2B68" w:rsidRPr="00AF3038">
              <w:rPr>
                <w:rFonts w:ascii="Arial" w:hAnsi="Arial" w:cs="Arial"/>
                <w:b w:val="0"/>
                <w:color w:val="auto"/>
              </w:rPr>
              <w:t>versight</w:t>
            </w:r>
          </w:p>
        </w:tc>
        <w:tc>
          <w:tcPr>
            <w:tcW w:w="2693" w:type="dxa"/>
            <w:tcBorders>
              <w:left w:val="none" w:sz="0" w:space="0" w:color="auto"/>
              <w:right w:val="none" w:sz="0" w:space="0" w:color="auto"/>
            </w:tcBorders>
          </w:tcPr>
          <w:p w:rsidR="006D2B68" w:rsidRPr="00AF3038" w:rsidRDefault="006D2B68" w:rsidP="0004529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105" w:type="dxa"/>
            <w:tcBorders>
              <w:left w:val="none" w:sz="0" w:space="0" w:color="auto"/>
              <w:right w:val="none" w:sz="0" w:space="0" w:color="auto"/>
            </w:tcBorders>
          </w:tcPr>
          <w:p w:rsidR="006D2B68" w:rsidRPr="00AF3038" w:rsidRDefault="006D2B68" w:rsidP="0004529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2.1 Financial code of p</w:t>
            </w:r>
            <w:r w:rsidR="006D2B68" w:rsidRPr="00AF3038">
              <w:rPr>
                <w:rFonts w:ascii="Arial" w:hAnsi="Arial" w:cs="Arial"/>
                <w:b w:val="0"/>
                <w:color w:val="auto"/>
              </w:rPr>
              <w:t xml:space="preserve">ractice </w:t>
            </w:r>
          </w:p>
          <w:p w:rsidR="006D2B68" w:rsidRPr="00AF3038" w:rsidRDefault="006D2B68" w:rsidP="00822E7D">
            <w:pPr>
              <w:rPr>
                <w:rFonts w:ascii="Arial" w:hAnsi="Arial" w:cs="Arial"/>
                <w:b w:val="0"/>
                <w:color w:val="auto"/>
              </w:rPr>
            </w:pPr>
          </w:p>
        </w:tc>
        <w:tc>
          <w:tcPr>
            <w:tcW w:w="2693" w:type="dxa"/>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105" w:type="dxa"/>
          </w:tcPr>
          <w:p w:rsidR="006D2B68" w:rsidRPr="00AF3038" w:rsidRDefault="006D2B68" w:rsidP="00561ECF">
            <w:pPr>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Replace</w:t>
            </w:r>
            <w:r w:rsidR="003E52DC" w:rsidRPr="00AF3038">
              <w:rPr>
                <w:rFonts w:ascii="Arial" w:hAnsi="Arial" w:cs="Arial"/>
                <w:color w:val="auto"/>
              </w:rPr>
              <w:t>s</w:t>
            </w:r>
            <w:r w:rsidRPr="00AF3038">
              <w:rPr>
                <w:rFonts w:ascii="Arial" w:hAnsi="Arial" w:cs="Arial"/>
                <w:color w:val="auto"/>
              </w:rPr>
              <w:t xml:space="preserve"> requirement to establish a financial code of practice with requirement to establish and maintain</w:t>
            </w:r>
            <w:r w:rsidR="000833CF">
              <w:rPr>
                <w:rFonts w:ascii="Arial" w:hAnsi="Arial" w:cs="Arial"/>
                <w:color w:val="auto"/>
              </w:rPr>
              <w:t xml:space="preserve"> effective financial governance. V</w:t>
            </w:r>
            <w:r w:rsidRPr="00AF3038">
              <w:rPr>
                <w:rFonts w:ascii="Arial" w:hAnsi="Arial" w:cs="Arial"/>
                <w:color w:val="auto"/>
              </w:rPr>
              <w:t>alues and behaviours are important to achieving good governance outcomes, e.g</w:t>
            </w:r>
            <w:r w:rsidR="004E3419" w:rsidRPr="00AF3038">
              <w:rPr>
                <w:rFonts w:ascii="Arial" w:hAnsi="Arial" w:cs="Arial"/>
                <w:color w:val="auto"/>
              </w:rPr>
              <w:t>. informed</w:t>
            </w:r>
            <w:r w:rsidRPr="00AF3038">
              <w:rPr>
                <w:rFonts w:ascii="Arial" w:hAnsi="Arial" w:cs="Arial"/>
                <w:color w:val="auto"/>
              </w:rPr>
              <w:t xml:space="preserve"> decision-making</w:t>
            </w:r>
            <w:r w:rsidR="004E3419" w:rsidRPr="00AF3038">
              <w:rPr>
                <w:rFonts w:ascii="Arial" w:hAnsi="Arial" w:cs="Arial"/>
                <w:color w:val="auto"/>
              </w:rPr>
              <w:t xml:space="preserve"> and effective financial governance and oversight.</w:t>
            </w:r>
          </w:p>
          <w:p w:rsidR="006D2B68" w:rsidRDefault="006D2B68" w:rsidP="001B047C">
            <w:pPr>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4B3DE7" w:rsidRPr="00AF3038">
              <w:rPr>
                <w:rFonts w:ascii="Arial" w:hAnsi="Arial" w:cs="Arial"/>
                <w:color w:val="auto"/>
              </w:rPr>
              <w:t>s</w:t>
            </w:r>
            <w:r w:rsidRPr="00AF3038">
              <w:rPr>
                <w:rFonts w:ascii="Arial" w:hAnsi="Arial" w:cs="Arial"/>
                <w:color w:val="auto"/>
              </w:rPr>
              <w:t xml:space="preserve"> duplication with VPS Code of Conduct and VGPB procurement policies. </w:t>
            </w:r>
          </w:p>
          <w:p w:rsidR="00126927" w:rsidRPr="00AF3038" w:rsidRDefault="00126927" w:rsidP="0012692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2.2 </w:t>
            </w:r>
            <w:r w:rsidR="006D2B68" w:rsidRPr="00AF3038">
              <w:rPr>
                <w:rFonts w:ascii="Arial" w:hAnsi="Arial" w:cs="Arial"/>
                <w:b w:val="0"/>
                <w:color w:val="auto"/>
              </w:rPr>
              <w:t xml:space="preserve">Financial </w:t>
            </w:r>
            <w:r w:rsidRPr="00AF3038">
              <w:rPr>
                <w:rFonts w:ascii="Arial" w:hAnsi="Arial" w:cs="Arial"/>
                <w:b w:val="0"/>
                <w:color w:val="auto"/>
              </w:rPr>
              <w:t>g</w:t>
            </w:r>
            <w:r w:rsidR="006D2B68" w:rsidRPr="00AF3038">
              <w:rPr>
                <w:rFonts w:ascii="Arial" w:hAnsi="Arial" w:cs="Arial"/>
                <w:b w:val="0"/>
                <w:color w:val="auto"/>
              </w:rPr>
              <w:t>overnance</w:t>
            </w:r>
          </w:p>
          <w:p w:rsidR="004B3DE7" w:rsidRPr="00AF3038" w:rsidRDefault="004B3DE7" w:rsidP="00561ECF">
            <w:pPr>
              <w:numPr>
                <w:ilvl w:val="0"/>
                <w:numId w:val="9"/>
              </w:numPr>
              <w:spacing w:before="0" w:after="0"/>
              <w:rPr>
                <w:rFonts w:ascii="Arial" w:hAnsi="Arial" w:cs="Arial"/>
                <w:b w:val="0"/>
              </w:rPr>
            </w:pPr>
            <w:r w:rsidRPr="00AF3038">
              <w:rPr>
                <w:rFonts w:ascii="Arial" w:hAnsi="Arial" w:cs="Arial"/>
                <w:b w:val="0"/>
                <w:color w:val="auto"/>
              </w:rPr>
              <w:t>Audit committees</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2 Roles and Responsibilities</w:t>
            </w:r>
          </w:p>
          <w:p w:rsidR="00B34C42" w:rsidRPr="00AF3038" w:rsidRDefault="00B34C42"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Instruction 2.3.4 </w:t>
            </w:r>
            <w:r w:rsidR="0050049C" w:rsidRPr="00AF3038">
              <w:rPr>
                <w:rFonts w:ascii="Arial" w:hAnsi="Arial" w:cs="Arial"/>
                <w:color w:val="auto"/>
              </w:rPr>
              <w:t xml:space="preserve">- </w:t>
            </w:r>
            <w:r w:rsidRPr="00AF3038">
              <w:rPr>
                <w:rFonts w:ascii="Arial" w:hAnsi="Arial" w:cs="Arial"/>
                <w:color w:val="auto"/>
              </w:rPr>
              <w:t>Portfolio relationships</w:t>
            </w:r>
          </w:p>
          <w:p w:rsidR="004B3DE7" w:rsidRPr="00AF3038" w:rsidRDefault="004B3DE7"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2.5 Delegations of responsibilities </w:t>
            </w:r>
            <w:r w:rsidR="00C6050C" w:rsidRPr="00AF3038">
              <w:rPr>
                <w:rFonts w:ascii="Arial" w:hAnsi="Arial" w:cs="Arial"/>
                <w:color w:val="auto"/>
              </w:rPr>
              <w:t>under these Directions</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3.2 Oversight and assurance</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3.2.1 Audit Committee</w:t>
            </w:r>
          </w:p>
          <w:p w:rsidR="006D2B68" w:rsidRPr="00AF3038" w:rsidRDefault="00DA603B"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5.1 Financial management c</w:t>
            </w:r>
            <w:r w:rsidR="006D2B68" w:rsidRPr="00AF3038">
              <w:rPr>
                <w:rFonts w:ascii="Arial" w:hAnsi="Arial" w:cs="Arial"/>
                <w:color w:val="auto"/>
              </w:rPr>
              <w:t>ompliance</w:t>
            </w:r>
          </w:p>
        </w:tc>
        <w:tc>
          <w:tcPr>
            <w:tcW w:w="9105" w:type="dxa"/>
            <w:tcBorders>
              <w:left w:val="none" w:sz="0" w:space="0" w:color="auto"/>
              <w:right w:val="none" w:sz="0" w:space="0" w:color="auto"/>
            </w:tcBorders>
          </w:tcPr>
          <w:p w:rsidR="006D2B68" w:rsidRPr="00AF3038" w:rsidRDefault="006D2B68" w:rsidP="00561ECF">
            <w:pPr>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Pr="00AF3038">
              <w:rPr>
                <w:rFonts w:ascii="Arial" w:hAnsi="Arial" w:cs="Arial"/>
                <w:color w:val="auto"/>
              </w:rPr>
              <w:t xml:space="preserve"> and enhance</w:t>
            </w:r>
            <w:r w:rsidR="003E52DC" w:rsidRPr="00AF3038">
              <w:rPr>
                <w:rFonts w:ascii="Arial" w:hAnsi="Arial" w:cs="Arial"/>
                <w:color w:val="auto"/>
              </w:rPr>
              <w:t>s</w:t>
            </w:r>
            <w:r w:rsidRPr="00AF3038">
              <w:rPr>
                <w:rFonts w:ascii="Arial" w:hAnsi="Arial" w:cs="Arial"/>
                <w:color w:val="auto"/>
              </w:rPr>
              <w:t xml:space="preserve"> existing obligations to establish effective financial governance.</w:t>
            </w:r>
          </w:p>
          <w:p w:rsidR="006D2B68" w:rsidRPr="00AF3038" w:rsidRDefault="006D2B68" w:rsidP="00561ECF">
            <w:pPr>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Strengthen</w:t>
            </w:r>
            <w:r w:rsidR="003E52DC" w:rsidRPr="00AF3038">
              <w:rPr>
                <w:rFonts w:ascii="Arial" w:hAnsi="Arial" w:cs="Arial"/>
                <w:color w:val="auto"/>
              </w:rPr>
              <w:t>s</w:t>
            </w:r>
            <w:r w:rsidRPr="00AF3038">
              <w:rPr>
                <w:rFonts w:ascii="Arial" w:hAnsi="Arial" w:cs="Arial"/>
                <w:color w:val="auto"/>
              </w:rPr>
              <w:t xml:space="preserve"> accountability by providing greater clarity around key roles and responsibilities for improving performance at the agency, portfolio and whole o</w:t>
            </w:r>
            <w:r w:rsidR="00190AE1">
              <w:rPr>
                <w:rFonts w:ascii="Arial" w:hAnsi="Arial" w:cs="Arial"/>
                <w:color w:val="auto"/>
              </w:rPr>
              <w:t>f government levels, including p</w:t>
            </w:r>
            <w:r w:rsidRPr="00AF3038">
              <w:rPr>
                <w:rFonts w:ascii="Arial" w:hAnsi="Arial" w:cs="Arial"/>
                <w:color w:val="auto"/>
              </w:rPr>
              <w:t xml:space="preserve">ortfolio </w:t>
            </w:r>
            <w:r w:rsidR="004E3419" w:rsidRPr="00AF3038">
              <w:rPr>
                <w:rFonts w:ascii="Arial" w:hAnsi="Arial" w:cs="Arial"/>
                <w:color w:val="auto"/>
              </w:rPr>
              <w:t>relationship</w:t>
            </w:r>
            <w:r w:rsidRPr="00AF3038">
              <w:rPr>
                <w:rFonts w:ascii="Arial" w:hAnsi="Arial" w:cs="Arial"/>
                <w:color w:val="auto"/>
              </w:rPr>
              <w:t xml:space="preserve"> requirements in DTF Instructions. </w:t>
            </w:r>
          </w:p>
          <w:p w:rsidR="00DA603B" w:rsidRPr="00AF3038" w:rsidRDefault="00DA603B" w:rsidP="00561ECF">
            <w:pPr>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Consolidates requirements for delegation </w:t>
            </w:r>
            <w:r w:rsidR="00964389">
              <w:rPr>
                <w:rFonts w:ascii="Arial" w:hAnsi="Arial" w:cs="Arial"/>
                <w:color w:val="auto"/>
              </w:rPr>
              <w:t>of responsibilities into a new d</w:t>
            </w:r>
            <w:r w:rsidRPr="00AF3038">
              <w:rPr>
                <w:rFonts w:ascii="Arial" w:hAnsi="Arial" w:cs="Arial"/>
                <w:color w:val="auto"/>
              </w:rPr>
              <w:t xml:space="preserve">elegations Direction </w:t>
            </w:r>
            <w:r w:rsidR="000833CF">
              <w:rPr>
                <w:rFonts w:ascii="Arial" w:hAnsi="Arial" w:cs="Arial"/>
                <w:color w:val="auto"/>
              </w:rPr>
              <w:t xml:space="preserve">2.5 </w:t>
            </w:r>
            <w:r w:rsidRPr="00AF3038">
              <w:rPr>
                <w:rFonts w:ascii="Arial" w:hAnsi="Arial" w:cs="Arial"/>
                <w:color w:val="auto"/>
              </w:rPr>
              <w:t>(</w:t>
            </w:r>
            <w:r w:rsidR="000833CF">
              <w:rPr>
                <w:rFonts w:ascii="Arial" w:hAnsi="Arial" w:cs="Arial"/>
                <w:color w:val="auto"/>
              </w:rPr>
              <w:t>compare</w:t>
            </w:r>
            <w:r w:rsidRPr="00AF3038">
              <w:rPr>
                <w:rFonts w:ascii="Arial" w:hAnsi="Arial" w:cs="Arial"/>
                <w:color w:val="auto"/>
              </w:rPr>
              <w:t xml:space="preserve"> 2003 Direction 2.4 Authorisations).</w:t>
            </w:r>
          </w:p>
          <w:p w:rsidR="006D2B68" w:rsidRPr="00AF3038" w:rsidRDefault="006D2B68" w:rsidP="00561ECF">
            <w:pPr>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Strengthen</w:t>
            </w:r>
            <w:r w:rsidR="003E52DC" w:rsidRPr="00AF3038">
              <w:rPr>
                <w:rFonts w:ascii="Arial" w:hAnsi="Arial" w:cs="Arial"/>
                <w:color w:val="auto"/>
              </w:rPr>
              <w:t>s</w:t>
            </w:r>
            <w:r w:rsidRPr="00AF3038">
              <w:rPr>
                <w:rFonts w:ascii="Arial" w:hAnsi="Arial" w:cs="Arial"/>
                <w:color w:val="auto"/>
              </w:rPr>
              <w:t xml:space="preserve"> Audit Committee requirements by moving them from procedures to a separate Direction and consolidating all Audit Committee responsibilities.</w:t>
            </w:r>
          </w:p>
          <w:p w:rsidR="006D2B68" w:rsidRPr="00AF3038" w:rsidRDefault="006D2B68" w:rsidP="00561ECF">
            <w:pPr>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Consolidate</w:t>
            </w:r>
            <w:r w:rsidR="003E52DC" w:rsidRPr="00AF3038">
              <w:rPr>
                <w:rFonts w:ascii="Arial" w:hAnsi="Arial" w:cs="Arial"/>
                <w:color w:val="auto"/>
              </w:rPr>
              <w:t>s</w:t>
            </w:r>
            <w:r w:rsidRPr="00AF3038">
              <w:rPr>
                <w:rFonts w:ascii="Arial" w:hAnsi="Arial" w:cs="Arial"/>
                <w:color w:val="auto"/>
              </w:rPr>
              <w:t xml:space="preserve"> non-compliance requirements </w:t>
            </w:r>
            <w:r w:rsidR="00964389">
              <w:rPr>
                <w:rFonts w:ascii="Arial" w:hAnsi="Arial" w:cs="Arial"/>
                <w:color w:val="auto"/>
              </w:rPr>
              <w:t>with new f</w:t>
            </w:r>
            <w:r w:rsidR="00DA603B" w:rsidRPr="00AF3038">
              <w:rPr>
                <w:rFonts w:ascii="Arial" w:hAnsi="Arial" w:cs="Arial"/>
                <w:color w:val="auto"/>
              </w:rPr>
              <w:t>inancial management c</w:t>
            </w:r>
            <w:r w:rsidR="00964389">
              <w:rPr>
                <w:rFonts w:ascii="Arial" w:hAnsi="Arial" w:cs="Arial"/>
                <w:color w:val="auto"/>
              </w:rPr>
              <w:t>ompliance Direction</w:t>
            </w:r>
            <w:r w:rsidRPr="00AF3038">
              <w:rPr>
                <w:rFonts w:ascii="Arial" w:hAnsi="Arial" w:cs="Arial"/>
                <w:color w:val="auto"/>
              </w:rPr>
              <w:t xml:space="preserve"> </w:t>
            </w:r>
            <w:r w:rsidR="00964389">
              <w:rPr>
                <w:rFonts w:ascii="Arial" w:hAnsi="Arial" w:cs="Arial"/>
                <w:color w:val="auto"/>
              </w:rPr>
              <w:t xml:space="preserve">5.1 </w:t>
            </w:r>
            <w:r w:rsidRPr="00AF3038">
              <w:rPr>
                <w:rFonts w:ascii="Arial" w:hAnsi="Arial" w:cs="Arial"/>
                <w:color w:val="auto"/>
              </w:rPr>
              <w:t>(</w:t>
            </w:r>
            <w:r w:rsidR="00964389">
              <w:rPr>
                <w:rFonts w:ascii="Arial" w:hAnsi="Arial" w:cs="Arial"/>
                <w:color w:val="auto"/>
              </w:rPr>
              <w:t>compare</w:t>
            </w:r>
            <w:r w:rsidRPr="00AF3038">
              <w:rPr>
                <w:rFonts w:ascii="Arial" w:hAnsi="Arial" w:cs="Arial"/>
                <w:color w:val="auto"/>
              </w:rPr>
              <w:t xml:space="preserve"> </w:t>
            </w:r>
            <w:r w:rsidR="00DA603B" w:rsidRPr="00AF3038">
              <w:rPr>
                <w:rFonts w:ascii="Arial" w:hAnsi="Arial" w:cs="Arial"/>
                <w:color w:val="auto"/>
              </w:rPr>
              <w:t xml:space="preserve">2003 Direction </w:t>
            </w:r>
            <w:r w:rsidRPr="00AF3038">
              <w:rPr>
                <w:rFonts w:ascii="Arial" w:hAnsi="Arial" w:cs="Arial"/>
                <w:color w:val="auto"/>
              </w:rPr>
              <w:t>4.5.1 Compliance with Directions).</w:t>
            </w:r>
          </w:p>
          <w:p w:rsidR="009857DF" w:rsidRPr="00AF3038" w:rsidRDefault="009857DF"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2.3 Financial risk m</w:t>
            </w:r>
            <w:r w:rsidR="006D2B68" w:rsidRPr="00AF3038">
              <w:rPr>
                <w:rFonts w:ascii="Arial" w:hAnsi="Arial" w:cs="Arial"/>
                <w:b w:val="0"/>
                <w:color w:val="auto"/>
              </w:rPr>
              <w:t>anagement</w:t>
            </w:r>
          </w:p>
        </w:tc>
        <w:tc>
          <w:tcPr>
            <w:tcW w:w="2693" w:type="dxa"/>
          </w:tcPr>
          <w:p w:rsidR="004B3DE7"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 xml:space="preserve">2. Roles and responsibilities </w:t>
            </w:r>
          </w:p>
          <w:p w:rsidR="00C6050C" w:rsidRPr="00AF3038" w:rsidRDefault="00C6050C" w:rsidP="00C6050C">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 xml:space="preserve">3.2.1 Audit Committee </w:t>
            </w:r>
          </w:p>
          <w:p w:rsidR="00600B02" w:rsidRPr="00AF3038" w:rsidRDefault="001B1823" w:rsidP="001B1823">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3.7 Managing risk</w:t>
            </w:r>
          </w:p>
        </w:tc>
        <w:tc>
          <w:tcPr>
            <w:tcW w:w="9105" w:type="dxa"/>
          </w:tcPr>
          <w:p w:rsidR="006D2B68" w:rsidRPr="00AF3038" w:rsidRDefault="006D2B68" w:rsidP="00561ECF">
            <w:pPr>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Pr="00AF3038">
              <w:rPr>
                <w:rFonts w:ascii="Arial" w:hAnsi="Arial" w:cs="Arial"/>
                <w:color w:val="auto"/>
              </w:rPr>
              <w:t>, refine</w:t>
            </w:r>
            <w:r w:rsidR="003E52DC" w:rsidRPr="00AF3038">
              <w:rPr>
                <w:rFonts w:ascii="Arial" w:hAnsi="Arial" w:cs="Arial"/>
                <w:color w:val="auto"/>
              </w:rPr>
              <w:t>s</w:t>
            </w:r>
            <w:r w:rsidRPr="00AF3038">
              <w:rPr>
                <w:rFonts w:ascii="Arial" w:hAnsi="Arial" w:cs="Arial"/>
                <w:color w:val="auto"/>
              </w:rPr>
              <w:t xml:space="preserve"> and embed</w:t>
            </w:r>
            <w:r w:rsidR="003E52DC" w:rsidRPr="00AF3038">
              <w:rPr>
                <w:rFonts w:ascii="Arial" w:hAnsi="Arial" w:cs="Arial"/>
                <w:color w:val="auto"/>
              </w:rPr>
              <w:t>s</w:t>
            </w:r>
            <w:r w:rsidRPr="00AF3038">
              <w:rPr>
                <w:rFonts w:ascii="Arial" w:hAnsi="Arial" w:cs="Arial"/>
                <w:color w:val="auto"/>
              </w:rPr>
              <w:t xml:space="preserve"> existing obligat</w:t>
            </w:r>
            <w:r w:rsidR="001264AF">
              <w:rPr>
                <w:rFonts w:ascii="Arial" w:hAnsi="Arial" w:cs="Arial"/>
                <w:color w:val="auto"/>
              </w:rPr>
              <w:t>ions within the Directions for managing r</w:t>
            </w:r>
            <w:r w:rsidR="00126927">
              <w:rPr>
                <w:rFonts w:ascii="Arial" w:hAnsi="Arial" w:cs="Arial"/>
                <w:color w:val="auto"/>
              </w:rPr>
              <w:t xml:space="preserve">isk, roles and responsibilities, effective financial governance </w:t>
            </w:r>
            <w:r w:rsidR="001264AF">
              <w:rPr>
                <w:rFonts w:ascii="Arial" w:hAnsi="Arial" w:cs="Arial"/>
                <w:color w:val="auto"/>
              </w:rPr>
              <w:t>and audit c</w:t>
            </w:r>
            <w:r w:rsidRPr="00AF3038">
              <w:rPr>
                <w:rFonts w:ascii="Arial" w:hAnsi="Arial" w:cs="Arial"/>
                <w:color w:val="auto"/>
              </w:rPr>
              <w:t>ommittee.</w:t>
            </w:r>
          </w:p>
          <w:p w:rsidR="006D2B68" w:rsidRPr="00AF3038" w:rsidRDefault="006D2B68" w:rsidP="00822E7D">
            <w:pPr>
              <w:ind w:left="3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2.4</w:t>
            </w:r>
            <w:r w:rsidR="006D2B68" w:rsidRPr="00AF3038">
              <w:rPr>
                <w:rFonts w:ascii="Arial" w:hAnsi="Arial" w:cs="Arial"/>
                <w:b w:val="0"/>
                <w:color w:val="auto"/>
              </w:rPr>
              <w:t xml:space="preserve"> Authorisations</w:t>
            </w:r>
          </w:p>
        </w:tc>
        <w:tc>
          <w:tcPr>
            <w:tcW w:w="2693" w:type="dxa"/>
            <w:tcBorders>
              <w:left w:val="none" w:sz="0" w:space="0" w:color="auto"/>
              <w:right w:val="none" w:sz="0" w:space="0" w:color="auto"/>
            </w:tcBorders>
          </w:tcPr>
          <w:p w:rsidR="0096023C" w:rsidRPr="00AF3038" w:rsidRDefault="0096023C" w:rsidP="0096023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2.5 Delegations of responsibilities under these Directions</w:t>
            </w:r>
          </w:p>
          <w:p w:rsidR="006D2B68" w:rsidRPr="00AF3038" w:rsidRDefault="006D2B68" w:rsidP="0096023C">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3.3 </w:t>
            </w:r>
            <w:r w:rsidR="0096023C" w:rsidRPr="00AF3038">
              <w:rPr>
                <w:rFonts w:ascii="Arial" w:hAnsi="Arial" w:cs="Arial"/>
                <w:color w:val="auto"/>
              </w:rPr>
              <w:t>Financial authorisations</w:t>
            </w:r>
          </w:p>
        </w:tc>
        <w:tc>
          <w:tcPr>
            <w:tcW w:w="9105" w:type="dxa"/>
            <w:tcBorders>
              <w:left w:val="none" w:sz="0" w:space="0" w:color="auto"/>
              <w:right w:val="none" w:sz="0" w:space="0" w:color="auto"/>
            </w:tcBorders>
          </w:tcPr>
          <w:p w:rsidR="006D2B68" w:rsidRPr="00AF3038" w:rsidRDefault="006D2B68" w:rsidP="00964389">
            <w:pPr>
              <w:numPr>
                <w:ilvl w:val="0"/>
                <w:numId w:val="8"/>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00DA603B" w:rsidRPr="00AF3038">
              <w:rPr>
                <w:rFonts w:ascii="Arial" w:hAnsi="Arial" w:cs="Arial"/>
                <w:color w:val="auto"/>
              </w:rPr>
              <w:t xml:space="preserve"> and streamlines</w:t>
            </w:r>
            <w:r w:rsidRPr="00AF3038">
              <w:rPr>
                <w:rFonts w:ascii="Arial" w:hAnsi="Arial" w:cs="Arial"/>
                <w:color w:val="auto"/>
              </w:rPr>
              <w:t xml:space="preserve"> </w:t>
            </w:r>
            <w:r w:rsidR="001264AF">
              <w:rPr>
                <w:rFonts w:ascii="Arial" w:hAnsi="Arial" w:cs="Arial"/>
                <w:color w:val="auto"/>
              </w:rPr>
              <w:t xml:space="preserve">2003 </w:t>
            </w:r>
            <w:r w:rsidRPr="00AF3038">
              <w:rPr>
                <w:rFonts w:ascii="Arial" w:hAnsi="Arial" w:cs="Arial"/>
                <w:color w:val="auto"/>
              </w:rPr>
              <w:t>Direction on financial authorisation</w:t>
            </w:r>
            <w:r w:rsidR="001264AF">
              <w:rPr>
                <w:rFonts w:ascii="Arial" w:hAnsi="Arial" w:cs="Arial"/>
                <w:color w:val="auto"/>
              </w:rPr>
              <w:t>s</w:t>
            </w:r>
            <w:r w:rsidRPr="00AF3038">
              <w:rPr>
                <w:rFonts w:ascii="Arial" w:hAnsi="Arial" w:cs="Arial"/>
                <w:color w:val="auto"/>
              </w:rPr>
              <w:t xml:space="preserve">, and </w:t>
            </w:r>
            <w:r w:rsidR="001264AF">
              <w:rPr>
                <w:rFonts w:ascii="Arial" w:hAnsi="Arial" w:cs="Arial"/>
                <w:color w:val="auto"/>
              </w:rPr>
              <w:t xml:space="preserve">now </w:t>
            </w:r>
            <w:r w:rsidRPr="00AF3038">
              <w:rPr>
                <w:rFonts w:ascii="Arial" w:hAnsi="Arial" w:cs="Arial"/>
                <w:color w:val="auto"/>
              </w:rPr>
              <w:t>include</w:t>
            </w:r>
            <w:r w:rsidR="00DA603B" w:rsidRPr="00AF3038">
              <w:rPr>
                <w:rFonts w:ascii="Arial" w:hAnsi="Arial" w:cs="Arial"/>
                <w:color w:val="auto"/>
              </w:rPr>
              <w:t>s</w:t>
            </w:r>
            <w:r w:rsidRPr="00AF3038">
              <w:rPr>
                <w:rFonts w:ascii="Arial" w:hAnsi="Arial" w:cs="Arial"/>
                <w:color w:val="auto"/>
              </w:rPr>
              <w:t xml:space="preserve"> requirements for delegation of responsibilities</w:t>
            </w:r>
            <w:r w:rsidR="001264AF">
              <w:rPr>
                <w:rFonts w:ascii="Arial" w:hAnsi="Arial" w:cs="Arial"/>
                <w:color w:val="auto"/>
              </w:rPr>
              <w:t xml:space="preserve"> in a separate Direction 2.5</w:t>
            </w:r>
            <w:r w:rsidRPr="00AF3038">
              <w:rPr>
                <w:rFonts w:ascii="Arial" w:hAnsi="Arial" w:cs="Arial"/>
                <w:color w:val="auto"/>
              </w:rPr>
              <w:t xml:space="preserve">. </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2.5 Internal a</w:t>
            </w:r>
            <w:r w:rsidR="006D2B68" w:rsidRPr="00AF3038">
              <w:rPr>
                <w:rFonts w:ascii="Arial" w:hAnsi="Arial" w:cs="Arial"/>
                <w:b w:val="0"/>
                <w:color w:val="auto"/>
              </w:rPr>
              <w:t>udit</w:t>
            </w:r>
          </w:p>
        </w:tc>
        <w:tc>
          <w:tcPr>
            <w:tcW w:w="2693" w:type="dxa"/>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3.2 Oversight and assurance</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3.2.1 Audit Committee</w:t>
            </w:r>
          </w:p>
          <w:p w:rsidR="006D2B6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3.2.2 Internal Audit</w:t>
            </w:r>
          </w:p>
          <w:p w:rsidR="00964389" w:rsidRPr="00AF3038" w:rsidRDefault="00964389"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5.1.3 Detailed periodic rev</w:t>
            </w:r>
            <w:r w:rsidR="009D3B5F">
              <w:rPr>
                <w:rFonts w:ascii="Arial" w:hAnsi="Arial" w:cs="Arial"/>
                <w:color w:val="auto"/>
              </w:rPr>
              <w:t>iew of financial management comp</w:t>
            </w:r>
            <w:r>
              <w:rPr>
                <w:rFonts w:ascii="Arial" w:hAnsi="Arial" w:cs="Arial"/>
                <w:color w:val="auto"/>
              </w:rPr>
              <w:t>liance</w:t>
            </w:r>
          </w:p>
        </w:tc>
        <w:tc>
          <w:tcPr>
            <w:tcW w:w="9105" w:type="dxa"/>
          </w:tcPr>
          <w:p w:rsidR="006D2B68" w:rsidRPr="00AF3038" w:rsidRDefault="006D2B68" w:rsidP="00561ECF">
            <w:pPr>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00F120D7" w:rsidRPr="00AF3038">
              <w:rPr>
                <w:rFonts w:ascii="Arial" w:hAnsi="Arial" w:cs="Arial"/>
                <w:color w:val="auto"/>
              </w:rPr>
              <w:t xml:space="preserve"> and enhances</w:t>
            </w:r>
            <w:r w:rsidRPr="00AF3038">
              <w:rPr>
                <w:rFonts w:ascii="Arial" w:hAnsi="Arial" w:cs="Arial"/>
                <w:color w:val="auto"/>
              </w:rPr>
              <w:t xml:space="preserve"> </w:t>
            </w:r>
            <w:r w:rsidR="00D248ED" w:rsidRPr="00AF3038">
              <w:rPr>
                <w:rFonts w:ascii="Arial" w:hAnsi="Arial" w:cs="Arial"/>
                <w:color w:val="auto"/>
              </w:rPr>
              <w:t>2003</w:t>
            </w:r>
            <w:r w:rsidRPr="00AF3038">
              <w:rPr>
                <w:rFonts w:ascii="Arial" w:hAnsi="Arial" w:cs="Arial"/>
                <w:color w:val="auto"/>
              </w:rPr>
              <w:t xml:space="preserve"> Direction, and introduce</w:t>
            </w:r>
            <w:r w:rsidR="00D248ED" w:rsidRPr="00AF3038">
              <w:rPr>
                <w:rFonts w:ascii="Arial" w:hAnsi="Arial" w:cs="Arial"/>
                <w:color w:val="auto"/>
              </w:rPr>
              <w:t>s</w:t>
            </w:r>
            <w:r w:rsidRPr="00AF3038">
              <w:rPr>
                <w:rFonts w:ascii="Arial" w:hAnsi="Arial" w:cs="Arial"/>
                <w:color w:val="auto"/>
              </w:rPr>
              <w:t xml:space="preserve"> a</w:t>
            </w:r>
            <w:r w:rsidR="009B7012" w:rsidRPr="00AF3038">
              <w:rPr>
                <w:rFonts w:ascii="Arial" w:hAnsi="Arial" w:cs="Arial"/>
                <w:color w:val="auto"/>
              </w:rPr>
              <w:t xml:space="preserve"> mandated</w:t>
            </w:r>
            <w:r w:rsidR="00F120D7" w:rsidRPr="00AF3038">
              <w:rPr>
                <w:rFonts w:ascii="Arial" w:hAnsi="Arial" w:cs="Arial"/>
                <w:color w:val="auto"/>
              </w:rPr>
              <w:t xml:space="preserve"> three to four year strategic internal audit plan</w:t>
            </w:r>
            <w:r w:rsidRPr="00AF3038">
              <w:rPr>
                <w:rFonts w:ascii="Arial" w:hAnsi="Arial" w:cs="Arial"/>
                <w:color w:val="auto"/>
              </w:rPr>
              <w:t xml:space="preserve">. </w:t>
            </w:r>
          </w:p>
          <w:p w:rsidR="006D2B68" w:rsidRPr="00AF3038" w:rsidRDefault="006D2B68" w:rsidP="00F120D7">
            <w:pPr>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 xml:space="preserve">Internal audit to be involved in detailed reviews of financial management </w:t>
            </w:r>
            <w:r w:rsidR="00F120D7" w:rsidRPr="00AF3038">
              <w:rPr>
                <w:rFonts w:ascii="Arial" w:hAnsi="Arial" w:cs="Arial"/>
                <w:color w:val="auto"/>
              </w:rPr>
              <w:t>requirements over the strategic plan period</w:t>
            </w:r>
            <w:r w:rsidR="009857DF" w:rsidRPr="00AF3038">
              <w:rPr>
                <w:rFonts w:ascii="Arial" w:hAnsi="Arial" w:cs="Arial"/>
                <w:color w:val="auto"/>
              </w:rPr>
              <w:t>.</w:t>
            </w:r>
          </w:p>
          <w:p w:rsidR="009857DF" w:rsidRPr="00AF3038" w:rsidRDefault="009857DF" w:rsidP="009857DF">
            <w:pPr>
              <w:spacing w:before="0" w:after="0"/>
              <w:ind w:left="3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2.6 External a</w:t>
            </w:r>
            <w:r w:rsidR="006D2B68" w:rsidRPr="00AF3038">
              <w:rPr>
                <w:rFonts w:ascii="Arial" w:hAnsi="Arial" w:cs="Arial"/>
                <w:b w:val="0"/>
                <w:color w:val="auto"/>
              </w:rPr>
              <w:t>udit</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3.2 Oversight and assurance</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3.2.1 Audit Committee</w:t>
            </w:r>
          </w:p>
        </w:tc>
        <w:tc>
          <w:tcPr>
            <w:tcW w:w="9105" w:type="dxa"/>
            <w:tcBorders>
              <w:left w:val="none" w:sz="0" w:space="0" w:color="auto"/>
              <w:right w:val="none" w:sz="0" w:space="0" w:color="auto"/>
            </w:tcBorders>
          </w:tcPr>
          <w:p w:rsidR="006D2B68" w:rsidRPr="00AF3038" w:rsidRDefault="006D2B68" w:rsidP="00190AE1">
            <w:pPr>
              <w:numPr>
                <w:ilvl w:val="0"/>
                <w:numId w:val="11"/>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00DA603B" w:rsidRPr="00AF3038">
              <w:rPr>
                <w:rFonts w:ascii="Arial" w:hAnsi="Arial" w:cs="Arial"/>
                <w:color w:val="auto"/>
              </w:rPr>
              <w:t xml:space="preserve"> and streamlines</w:t>
            </w:r>
            <w:r w:rsidR="00190AE1">
              <w:rPr>
                <w:rFonts w:ascii="Arial" w:hAnsi="Arial" w:cs="Arial"/>
                <w:color w:val="auto"/>
              </w:rPr>
              <w:t xml:space="preserve"> 2003</w:t>
            </w:r>
            <w:r w:rsidRPr="00AF3038">
              <w:rPr>
                <w:rFonts w:ascii="Arial" w:hAnsi="Arial" w:cs="Arial"/>
                <w:color w:val="auto"/>
              </w:rPr>
              <w:t xml:space="preserve"> Direction and consolidate</w:t>
            </w:r>
            <w:r w:rsidR="00DA603B" w:rsidRPr="00AF3038">
              <w:rPr>
                <w:rFonts w:ascii="Arial" w:hAnsi="Arial" w:cs="Arial"/>
                <w:color w:val="auto"/>
              </w:rPr>
              <w:t>s</w:t>
            </w:r>
            <w:r w:rsidRPr="00AF3038">
              <w:rPr>
                <w:rFonts w:ascii="Arial" w:hAnsi="Arial" w:cs="Arial"/>
                <w:color w:val="auto"/>
              </w:rPr>
              <w:t xml:space="preserve"> into Audit Committee responsibilities. </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D35ADF">
            <w:pPr>
              <w:keepNext/>
              <w:widowControl w:val="0"/>
              <w:rPr>
                <w:rFonts w:ascii="Arial" w:hAnsi="Arial" w:cs="Arial"/>
                <w:b w:val="0"/>
                <w:color w:val="auto"/>
              </w:rPr>
            </w:pPr>
            <w:r w:rsidRPr="00AF3038">
              <w:rPr>
                <w:rFonts w:ascii="Arial" w:hAnsi="Arial" w:cs="Arial"/>
                <w:b w:val="0"/>
                <w:color w:val="auto"/>
              </w:rPr>
              <w:t>3 Financial management structure, sy</w:t>
            </w:r>
            <w:r w:rsidR="006D2B68" w:rsidRPr="00AF3038">
              <w:rPr>
                <w:rFonts w:ascii="Arial" w:hAnsi="Arial" w:cs="Arial"/>
                <w:b w:val="0"/>
                <w:color w:val="auto"/>
              </w:rPr>
              <w:t xml:space="preserve">stems </w:t>
            </w:r>
            <w:r w:rsidRPr="00AF3038">
              <w:rPr>
                <w:rFonts w:ascii="Arial" w:hAnsi="Arial" w:cs="Arial"/>
                <w:b w:val="0"/>
                <w:color w:val="auto"/>
              </w:rPr>
              <w:t>policies and p</w:t>
            </w:r>
            <w:r w:rsidR="006D2B68" w:rsidRPr="00AF3038">
              <w:rPr>
                <w:rFonts w:ascii="Arial" w:hAnsi="Arial" w:cs="Arial"/>
                <w:b w:val="0"/>
                <w:color w:val="auto"/>
              </w:rPr>
              <w:t>rocedures</w:t>
            </w:r>
          </w:p>
        </w:tc>
        <w:tc>
          <w:tcPr>
            <w:tcW w:w="2693" w:type="dxa"/>
          </w:tcPr>
          <w:p w:rsidR="006D2B68" w:rsidRPr="00AF3038" w:rsidRDefault="006D2B68" w:rsidP="00045296">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105" w:type="dxa"/>
          </w:tcPr>
          <w:p w:rsidR="006D2B68" w:rsidRPr="00AF3038" w:rsidRDefault="006D2B68" w:rsidP="00045296">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3.1.1 </w:t>
            </w:r>
            <w:r w:rsidR="001264AF">
              <w:rPr>
                <w:rFonts w:ascii="Arial" w:hAnsi="Arial" w:cs="Arial"/>
                <w:b w:val="0"/>
                <w:color w:val="auto"/>
              </w:rPr>
              <w:t>Public sector agency fi</w:t>
            </w:r>
            <w:r w:rsidRPr="00AF3038">
              <w:rPr>
                <w:rFonts w:ascii="Arial" w:hAnsi="Arial" w:cs="Arial"/>
                <w:b w:val="0"/>
                <w:color w:val="auto"/>
              </w:rPr>
              <w:t>nancial management team s</w:t>
            </w:r>
            <w:r w:rsidR="006D2B68" w:rsidRPr="00AF3038">
              <w:rPr>
                <w:rFonts w:ascii="Arial" w:hAnsi="Arial" w:cs="Arial"/>
                <w:b w:val="0"/>
                <w:color w:val="auto"/>
              </w:rPr>
              <w:t xml:space="preserve">tructure </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2. Roles and responsibilities </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tc>
        <w:tc>
          <w:tcPr>
            <w:tcW w:w="9105" w:type="dxa"/>
            <w:tcBorders>
              <w:left w:val="none" w:sz="0" w:space="0" w:color="auto"/>
              <w:right w:val="none" w:sz="0" w:space="0" w:color="auto"/>
            </w:tcBorders>
          </w:tcPr>
          <w:p w:rsidR="006D2B68" w:rsidRPr="00AF3038" w:rsidRDefault="006D2B68" w:rsidP="00561ECF">
            <w:pPr>
              <w:pStyle w:val="ListParagraph"/>
              <w:numPr>
                <w:ilvl w:val="0"/>
                <w:numId w:val="24"/>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Pr="00AF3038">
              <w:rPr>
                <w:rFonts w:ascii="Arial" w:hAnsi="Arial" w:cs="Arial"/>
                <w:color w:val="auto"/>
              </w:rPr>
              <w:t xml:space="preserve"> </w:t>
            </w:r>
            <w:r w:rsidR="00D248ED" w:rsidRPr="00AF3038">
              <w:rPr>
                <w:rFonts w:ascii="Arial" w:hAnsi="Arial" w:cs="Arial"/>
                <w:color w:val="auto"/>
              </w:rPr>
              <w:t>2003</w:t>
            </w:r>
            <w:r w:rsidRPr="00AF3038">
              <w:rPr>
                <w:rFonts w:ascii="Arial" w:hAnsi="Arial" w:cs="Arial"/>
                <w:color w:val="auto"/>
              </w:rPr>
              <w:t xml:space="preserve"> </w:t>
            </w:r>
            <w:r w:rsidR="00964389">
              <w:rPr>
                <w:rFonts w:ascii="Arial" w:hAnsi="Arial" w:cs="Arial"/>
                <w:color w:val="auto"/>
              </w:rPr>
              <w:t>Direction within new e</w:t>
            </w:r>
            <w:r w:rsidR="00D248ED" w:rsidRPr="00AF3038">
              <w:rPr>
                <w:rFonts w:ascii="Arial" w:hAnsi="Arial" w:cs="Arial"/>
                <w:color w:val="auto"/>
              </w:rPr>
              <w:t>ffective financial g</w:t>
            </w:r>
            <w:r w:rsidRPr="00AF3038">
              <w:rPr>
                <w:rFonts w:ascii="Arial" w:hAnsi="Arial" w:cs="Arial"/>
                <w:color w:val="auto"/>
              </w:rPr>
              <w:t>overnance Direction</w:t>
            </w:r>
            <w:r w:rsidR="009D3B5F">
              <w:rPr>
                <w:rFonts w:ascii="Arial" w:hAnsi="Arial" w:cs="Arial"/>
                <w:color w:val="auto"/>
              </w:rPr>
              <w:t xml:space="preserve"> 3.1</w:t>
            </w:r>
            <w:r w:rsidRPr="00AF3038">
              <w:rPr>
                <w:rFonts w:ascii="Arial" w:hAnsi="Arial" w:cs="Arial"/>
                <w:color w:val="auto"/>
              </w:rPr>
              <w:t>, and define</w:t>
            </w:r>
            <w:r w:rsidR="00D248ED" w:rsidRPr="00AF3038">
              <w:rPr>
                <w:rFonts w:ascii="Arial" w:hAnsi="Arial" w:cs="Arial"/>
                <w:color w:val="auto"/>
              </w:rPr>
              <w:t>s</w:t>
            </w:r>
            <w:r w:rsidRPr="00AF3038">
              <w:rPr>
                <w:rFonts w:ascii="Arial" w:hAnsi="Arial" w:cs="Arial"/>
                <w:color w:val="auto"/>
              </w:rPr>
              <w:t xml:space="preserve"> financial management by</w:t>
            </w:r>
            <w:r w:rsidR="00964389">
              <w:rPr>
                <w:rFonts w:ascii="Arial" w:hAnsi="Arial" w:cs="Arial"/>
                <w:color w:val="auto"/>
              </w:rPr>
              <w:t xml:space="preserve"> the requirements in </w:t>
            </w:r>
            <w:r w:rsidR="009D3B5F">
              <w:rPr>
                <w:rFonts w:ascii="Arial" w:hAnsi="Arial" w:cs="Arial"/>
                <w:color w:val="auto"/>
              </w:rPr>
              <w:t>r</w:t>
            </w:r>
            <w:r w:rsidR="00D248ED" w:rsidRPr="00AF3038">
              <w:rPr>
                <w:rFonts w:ascii="Arial" w:hAnsi="Arial" w:cs="Arial"/>
                <w:color w:val="auto"/>
              </w:rPr>
              <w:t>oles and r</w:t>
            </w:r>
            <w:r w:rsidRPr="00AF3038">
              <w:rPr>
                <w:rFonts w:ascii="Arial" w:hAnsi="Arial" w:cs="Arial"/>
                <w:color w:val="auto"/>
              </w:rPr>
              <w:t>esponsibilities Direction</w:t>
            </w:r>
            <w:r w:rsidR="009D3B5F">
              <w:rPr>
                <w:rFonts w:ascii="Arial" w:hAnsi="Arial" w:cs="Arial"/>
                <w:color w:val="auto"/>
              </w:rPr>
              <w:t xml:space="preserve"> 2</w:t>
            </w:r>
            <w:r w:rsidRPr="00AF3038">
              <w:rPr>
                <w:rFonts w:ascii="Arial" w:hAnsi="Arial" w:cs="Arial"/>
                <w:color w:val="auto"/>
              </w:rPr>
              <w:t>.</w:t>
            </w:r>
          </w:p>
          <w:p w:rsidR="009857DF" w:rsidRPr="00AF3038" w:rsidRDefault="009857DF"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3.1.2</w:t>
            </w:r>
            <w:r w:rsidR="006D2B68" w:rsidRPr="00AF3038">
              <w:rPr>
                <w:rFonts w:ascii="Arial" w:hAnsi="Arial" w:cs="Arial"/>
                <w:b w:val="0"/>
                <w:color w:val="auto"/>
              </w:rPr>
              <w:t xml:space="preserve"> Chief Finance and Accounting Officer</w:t>
            </w:r>
            <w:r w:rsidRPr="00AF3038">
              <w:rPr>
                <w:rFonts w:ascii="Arial" w:hAnsi="Arial" w:cs="Arial"/>
                <w:b w:val="0"/>
                <w:color w:val="auto"/>
              </w:rPr>
              <w:t xml:space="preserve"> (CFAO)</w:t>
            </w:r>
          </w:p>
        </w:tc>
        <w:tc>
          <w:tcPr>
            <w:tcW w:w="2693" w:type="dxa"/>
          </w:tcPr>
          <w:p w:rsidR="006D2B68" w:rsidRPr="00AF3038" w:rsidRDefault="0096023C"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2.4</w:t>
            </w:r>
            <w:r w:rsidR="006D2B68" w:rsidRPr="00AF3038">
              <w:rPr>
                <w:rFonts w:ascii="Arial" w:hAnsi="Arial" w:cs="Arial"/>
                <w:color w:val="auto"/>
              </w:rPr>
              <w:t xml:space="preserve"> Chief Finance Officer</w:t>
            </w:r>
            <w:r w:rsidR="003E52DC" w:rsidRPr="00AF3038">
              <w:rPr>
                <w:rFonts w:ascii="Arial" w:hAnsi="Arial" w:cs="Arial"/>
                <w:color w:val="auto"/>
              </w:rPr>
              <w:t xml:space="preserve"> (CFO)</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105" w:type="dxa"/>
          </w:tcPr>
          <w:p w:rsidR="006D2B68" w:rsidRPr="00AF3038" w:rsidRDefault="006D2B68" w:rsidP="00561ECF">
            <w:pPr>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00D248ED" w:rsidRPr="00AF3038">
              <w:rPr>
                <w:rFonts w:ascii="Arial" w:hAnsi="Arial" w:cs="Arial"/>
                <w:color w:val="auto"/>
              </w:rPr>
              <w:t xml:space="preserve"> and refines 2003</w:t>
            </w:r>
            <w:r w:rsidRPr="00AF3038">
              <w:rPr>
                <w:rFonts w:ascii="Arial" w:hAnsi="Arial" w:cs="Arial"/>
                <w:color w:val="auto"/>
              </w:rPr>
              <w:t xml:space="preserve"> Di</w:t>
            </w:r>
            <w:r w:rsidR="0096023C" w:rsidRPr="00AF3038">
              <w:rPr>
                <w:rFonts w:ascii="Arial" w:hAnsi="Arial" w:cs="Arial"/>
                <w:color w:val="auto"/>
              </w:rPr>
              <w:t>rection, and elevate</w:t>
            </w:r>
            <w:r w:rsidR="00D248ED" w:rsidRPr="00AF3038">
              <w:rPr>
                <w:rFonts w:ascii="Arial" w:hAnsi="Arial" w:cs="Arial"/>
                <w:color w:val="auto"/>
              </w:rPr>
              <w:t>s</w:t>
            </w:r>
            <w:r w:rsidR="0096023C" w:rsidRPr="00AF3038">
              <w:rPr>
                <w:rFonts w:ascii="Arial" w:hAnsi="Arial" w:cs="Arial"/>
                <w:color w:val="auto"/>
              </w:rPr>
              <w:t xml:space="preserve"> role of CF</w:t>
            </w:r>
            <w:r w:rsidRPr="00AF3038">
              <w:rPr>
                <w:rFonts w:ascii="Arial" w:hAnsi="Arial" w:cs="Arial"/>
                <w:color w:val="auto"/>
              </w:rPr>
              <w:t>O to include a strategic component in addition to traditional role (compliance, operations and reporting)</w:t>
            </w:r>
            <w:r w:rsidR="009B7012" w:rsidRPr="00AF3038">
              <w:rPr>
                <w:rFonts w:ascii="Arial" w:hAnsi="Arial" w:cs="Arial"/>
                <w:color w:val="auto"/>
              </w:rPr>
              <w:t xml:space="preserve"> and </w:t>
            </w:r>
            <w:r w:rsidR="00600B02">
              <w:rPr>
                <w:rFonts w:ascii="Arial" w:hAnsi="Arial" w:cs="Arial"/>
                <w:color w:val="auto"/>
              </w:rPr>
              <w:t xml:space="preserve">requires CFO to have </w:t>
            </w:r>
            <w:r w:rsidR="009B7012" w:rsidRPr="00AF3038">
              <w:rPr>
                <w:rFonts w:ascii="Arial" w:hAnsi="Arial" w:cs="Arial"/>
                <w:color w:val="auto"/>
              </w:rPr>
              <w:t>access to</w:t>
            </w:r>
            <w:r w:rsidR="00E93340">
              <w:rPr>
                <w:rFonts w:ascii="Arial" w:hAnsi="Arial" w:cs="Arial"/>
                <w:color w:val="auto"/>
              </w:rPr>
              <w:t xml:space="preserve"> the </w:t>
            </w:r>
            <w:r w:rsidR="009B7012" w:rsidRPr="00AF3038">
              <w:rPr>
                <w:rFonts w:ascii="Arial" w:hAnsi="Arial" w:cs="Arial"/>
                <w:color w:val="auto"/>
              </w:rPr>
              <w:t>Accountable Officer and Responsible Body</w:t>
            </w:r>
            <w:r w:rsidRPr="00AF3038">
              <w:rPr>
                <w:rFonts w:ascii="Arial" w:hAnsi="Arial" w:cs="Arial"/>
                <w:color w:val="auto"/>
              </w:rPr>
              <w:t>.</w:t>
            </w:r>
          </w:p>
          <w:p w:rsidR="00964389" w:rsidRDefault="0096023C" w:rsidP="00964389">
            <w:pPr>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B1823">
              <w:rPr>
                <w:rFonts w:ascii="Arial" w:hAnsi="Arial" w:cs="Arial"/>
                <w:color w:val="auto"/>
              </w:rPr>
              <w:t>Tertiary qualification mandated</w:t>
            </w:r>
            <w:r w:rsidR="00D248ED" w:rsidRPr="001B1823">
              <w:rPr>
                <w:rFonts w:ascii="Arial" w:hAnsi="Arial" w:cs="Arial"/>
                <w:color w:val="auto"/>
              </w:rPr>
              <w:t xml:space="preserve"> with transitional provisions.</w:t>
            </w:r>
          </w:p>
          <w:p w:rsidR="00964389" w:rsidRDefault="00E93340" w:rsidP="00E93340">
            <w:pPr>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Mandates an effective relationship between agency CFO’s and portfolio department CFO to promote the purposes of the portfolio.</w:t>
            </w:r>
          </w:p>
          <w:p w:rsidR="00933575" w:rsidRPr="00AF3038" w:rsidRDefault="00933575" w:rsidP="00933575">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3.1.3 Policies and p</w:t>
            </w:r>
            <w:r w:rsidR="006D2B68" w:rsidRPr="00AF3038">
              <w:rPr>
                <w:rFonts w:ascii="Arial" w:hAnsi="Arial" w:cs="Arial"/>
                <w:b w:val="0"/>
                <w:color w:val="auto"/>
              </w:rPr>
              <w:t>rocedures</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3.1 Effective financial governance </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3.4 Internal control system</w:t>
            </w:r>
          </w:p>
          <w:p w:rsidR="00230795" w:rsidRPr="00AF3038" w:rsidRDefault="00230795"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 3.4</w:t>
            </w:r>
          </w:p>
        </w:tc>
        <w:tc>
          <w:tcPr>
            <w:tcW w:w="9105" w:type="dxa"/>
            <w:tcBorders>
              <w:left w:val="none" w:sz="0" w:space="0" w:color="auto"/>
              <w:right w:val="none" w:sz="0" w:space="0" w:color="auto"/>
            </w:tcBorders>
          </w:tcPr>
          <w:p w:rsidR="006D2B68" w:rsidRPr="00AF3038" w:rsidRDefault="006D2B68" w:rsidP="009B7012">
            <w:pPr>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Consolidate</w:t>
            </w:r>
            <w:r w:rsidR="003E52DC" w:rsidRPr="00AF3038">
              <w:rPr>
                <w:rFonts w:ascii="Arial" w:hAnsi="Arial" w:cs="Arial"/>
                <w:color w:val="auto"/>
              </w:rPr>
              <w:t>s</w:t>
            </w:r>
            <w:r w:rsidR="001264AF">
              <w:rPr>
                <w:rFonts w:ascii="Arial" w:hAnsi="Arial" w:cs="Arial"/>
                <w:color w:val="auto"/>
              </w:rPr>
              <w:t xml:space="preserve"> 2003 </w:t>
            </w:r>
            <w:r w:rsidR="009D3B5F">
              <w:rPr>
                <w:rFonts w:ascii="Arial" w:hAnsi="Arial" w:cs="Arial"/>
                <w:color w:val="auto"/>
              </w:rPr>
              <w:t>Direction with</w:t>
            </w:r>
            <w:r w:rsidR="001264AF">
              <w:rPr>
                <w:rFonts w:ascii="Arial" w:hAnsi="Arial" w:cs="Arial"/>
                <w:color w:val="auto"/>
              </w:rPr>
              <w:t>in</w:t>
            </w:r>
            <w:r w:rsidR="009D3B5F">
              <w:rPr>
                <w:rFonts w:ascii="Arial" w:hAnsi="Arial" w:cs="Arial"/>
                <w:color w:val="auto"/>
              </w:rPr>
              <w:t xml:space="preserve"> the new i</w:t>
            </w:r>
            <w:r w:rsidRPr="00AF3038">
              <w:rPr>
                <w:rFonts w:ascii="Arial" w:hAnsi="Arial" w:cs="Arial"/>
                <w:color w:val="auto"/>
              </w:rPr>
              <w:t>nternal control syste</w:t>
            </w:r>
            <w:r w:rsidR="00ED443D" w:rsidRPr="00AF3038">
              <w:rPr>
                <w:rFonts w:ascii="Arial" w:hAnsi="Arial" w:cs="Arial"/>
                <w:color w:val="auto"/>
              </w:rPr>
              <w:t xml:space="preserve">m Direction </w:t>
            </w:r>
            <w:r w:rsidR="009D3B5F">
              <w:rPr>
                <w:rFonts w:ascii="Arial" w:hAnsi="Arial" w:cs="Arial"/>
                <w:color w:val="auto"/>
              </w:rPr>
              <w:t>3.4</w:t>
            </w:r>
            <w:r w:rsidRPr="00AF3038">
              <w:rPr>
                <w:rFonts w:ascii="Arial" w:hAnsi="Arial" w:cs="Arial"/>
                <w:color w:val="auto"/>
              </w:rPr>
              <w:t xml:space="preserve">, which requires agencies to establish an internal control system </w:t>
            </w:r>
            <w:r w:rsidR="009B7012" w:rsidRPr="00AF3038">
              <w:rPr>
                <w:rFonts w:ascii="Arial" w:hAnsi="Arial" w:cs="Arial"/>
                <w:color w:val="auto"/>
              </w:rPr>
              <w:t>(</w:t>
            </w:r>
            <w:r w:rsidRPr="00AF3038">
              <w:rPr>
                <w:rFonts w:ascii="Arial" w:hAnsi="Arial" w:cs="Arial"/>
                <w:color w:val="auto"/>
              </w:rPr>
              <w:t xml:space="preserve">based on the </w:t>
            </w:r>
            <w:r w:rsidR="009B7012" w:rsidRPr="00AF3038">
              <w:rPr>
                <w:rFonts w:ascii="Arial" w:hAnsi="Arial" w:cs="Arial"/>
                <w:color w:val="auto"/>
              </w:rPr>
              <w:t xml:space="preserve">components of </w:t>
            </w:r>
            <w:r w:rsidRPr="00AF3038">
              <w:rPr>
                <w:rFonts w:ascii="Arial" w:hAnsi="Arial" w:cs="Arial"/>
                <w:color w:val="auto"/>
              </w:rPr>
              <w:t>internationally recognised COSO framework</w:t>
            </w:r>
            <w:r w:rsidR="009B7012" w:rsidRPr="00AF3038">
              <w:rPr>
                <w:rFonts w:ascii="Arial" w:hAnsi="Arial" w:cs="Arial"/>
                <w:color w:val="auto"/>
              </w:rPr>
              <w:t xml:space="preserve">). </w:t>
            </w:r>
            <w:r w:rsidR="009D3B5F">
              <w:rPr>
                <w:rFonts w:ascii="Arial" w:hAnsi="Arial" w:cs="Arial"/>
                <w:color w:val="auto"/>
              </w:rPr>
              <w:t>S</w:t>
            </w:r>
            <w:r w:rsidRPr="00AF3038">
              <w:rPr>
                <w:rFonts w:ascii="Arial" w:hAnsi="Arial" w:cs="Arial"/>
                <w:color w:val="auto"/>
              </w:rPr>
              <w:t>ee 3.4 Policies and Procedures</w:t>
            </w:r>
            <w:r w:rsidR="009B7012" w:rsidRPr="00AF3038">
              <w:rPr>
                <w:rFonts w:ascii="Arial" w:hAnsi="Arial" w:cs="Arial"/>
                <w:color w:val="auto"/>
              </w:rPr>
              <w:t xml:space="preserve"> </w:t>
            </w:r>
            <w:r w:rsidR="009D3B5F">
              <w:rPr>
                <w:rFonts w:ascii="Arial" w:hAnsi="Arial" w:cs="Arial"/>
                <w:color w:val="auto"/>
              </w:rPr>
              <w:t xml:space="preserve">for more detail </w:t>
            </w:r>
            <w:r w:rsidR="009B7012" w:rsidRPr="00AF3038">
              <w:rPr>
                <w:rFonts w:ascii="Arial" w:hAnsi="Arial" w:cs="Arial"/>
                <w:color w:val="auto"/>
              </w:rPr>
              <w:t>below</w:t>
            </w:r>
            <w:r w:rsidR="009857DF" w:rsidRPr="00AF3038">
              <w:rPr>
                <w:rFonts w:ascii="Arial" w:hAnsi="Arial" w:cs="Arial"/>
                <w:color w:val="auto"/>
              </w:rPr>
              <w:t>.</w:t>
            </w:r>
          </w:p>
          <w:p w:rsidR="009857DF" w:rsidRPr="00AF3038" w:rsidRDefault="009857DF" w:rsidP="001B047C">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3.1.4 Chart of a</w:t>
            </w:r>
            <w:r w:rsidR="006D2B68" w:rsidRPr="00AF3038">
              <w:rPr>
                <w:rFonts w:ascii="Arial" w:hAnsi="Arial" w:cs="Arial"/>
                <w:b w:val="0"/>
                <w:color w:val="auto"/>
              </w:rPr>
              <w:t>ccounts</w:t>
            </w:r>
          </w:p>
        </w:tc>
        <w:tc>
          <w:tcPr>
            <w:tcW w:w="2693" w:type="dxa"/>
          </w:tcPr>
          <w:p w:rsidR="006D2B68" w:rsidRPr="00AF3038" w:rsidRDefault="003E52DC"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Not directly specified</w:t>
            </w:r>
          </w:p>
        </w:tc>
        <w:tc>
          <w:tcPr>
            <w:tcW w:w="9105" w:type="dxa"/>
          </w:tcPr>
          <w:p w:rsidR="006D2B68" w:rsidRPr="00AF3038" w:rsidRDefault="006D2B68" w:rsidP="00561ECF">
            <w:pPr>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3E52DC" w:rsidRPr="00AF3038">
              <w:rPr>
                <w:rFonts w:ascii="Arial" w:hAnsi="Arial" w:cs="Arial"/>
                <w:color w:val="auto"/>
              </w:rPr>
              <w:t>s</w:t>
            </w:r>
            <w:r w:rsidRPr="00AF3038">
              <w:rPr>
                <w:rFonts w:ascii="Arial" w:hAnsi="Arial" w:cs="Arial"/>
                <w:color w:val="auto"/>
              </w:rPr>
              <w:t xml:space="preserve"> </w:t>
            </w:r>
            <w:r w:rsidR="00D248ED" w:rsidRPr="00AF3038">
              <w:rPr>
                <w:rFonts w:ascii="Arial" w:hAnsi="Arial" w:cs="Arial"/>
                <w:color w:val="auto"/>
              </w:rPr>
              <w:t xml:space="preserve">2003 </w:t>
            </w:r>
            <w:r w:rsidRPr="00AF3038">
              <w:rPr>
                <w:rFonts w:ascii="Arial" w:hAnsi="Arial" w:cs="Arial"/>
                <w:color w:val="auto"/>
              </w:rPr>
              <w:t>Direction</w:t>
            </w:r>
            <w:r w:rsidR="00617AB1" w:rsidRPr="00AF3038">
              <w:rPr>
                <w:rFonts w:ascii="Arial" w:hAnsi="Arial" w:cs="Arial"/>
                <w:color w:val="auto"/>
              </w:rPr>
              <w:t>,</w:t>
            </w:r>
            <w:r w:rsidRPr="00AF3038">
              <w:rPr>
                <w:rFonts w:ascii="Arial" w:hAnsi="Arial" w:cs="Arial"/>
                <w:color w:val="auto"/>
              </w:rPr>
              <w:t xml:space="preserve"> as establishing and maintaining a chart of accounts is standard practice in public and private sector entities.</w:t>
            </w:r>
          </w:p>
          <w:p w:rsidR="009857DF" w:rsidRDefault="006D2B68" w:rsidP="009857DF">
            <w:pPr>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Principle of having a chart of acc</w:t>
            </w:r>
            <w:r w:rsidR="00D248ED" w:rsidRPr="00AF3038">
              <w:rPr>
                <w:rFonts w:ascii="Arial" w:hAnsi="Arial" w:cs="Arial"/>
                <w:color w:val="auto"/>
              </w:rPr>
              <w:t>ounts is implicit within the CF</w:t>
            </w:r>
            <w:r w:rsidRPr="00AF3038">
              <w:rPr>
                <w:rFonts w:ascii="Arial" w:hAnsi="Arial" w:cs="Arial"/>
                <w:color w:val="auto"/>
              </w:rPr>
              <w:t>O’s responsibilities of preparing financial information to discharge statutory obligations and advice to management.</w:t>
            </w:r>
          </w:p>
          <w:p w:rsidR="00145AD5" w:rsidRPr="00AF3038" w:rsidRDefault="00145AD5" w:rsidP="00145AD5">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3.1.5 Managing outsourced financial s</w:t>
            </w:r>
            <w:r w:rsidR="006D2B68" w:rsidRPr="00AF3038">
              <w:rPr>
                <w:rFonts w:ascii="Arial" w:hAnsi="Arial" w:cs="Arial"/>
                <w:b w:val="0"/>
                <w:color w:val="auto"/>
              </w:rPr>
              <w:t>ervices</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r w:rsidR="009B7012" w:rsidRPr="00AF3038">
              <w:rPr>
                <w:rFonts w:ascii="Arial" w:hAnsi="Arial" w:cs="Arial"/>
                <w:color w:val="auto"/>
              </w:rPr>
              <w:t>,</w:t>
            </w:r>
            <w:r w:rsidR="003E52DC" w:rsidRPr="00AF3038">
              <w:rPr>
                <w:rFonts w:ascii="Arial" w:hAnsi="Arial" w:cs="Arial"/>
                <w:color w:val="auto"/>
              </w:rPr>
              <w:t xml:space="preserve"> </w:t>
            </w:r>
            <w:r w:rsidR="009B7012" w:rsidRPr="00AF3038">
              <w:rPr>
                <w:rFonts w:ascii="Arial" w:hAnsi="Arial" w:cs="Arial"/>
                <w:color w:val="auto"/>
              </w:rPr>
              <w:t xml:space="preserve">point </w:t>
            </w:r>
            <w:r w:rsidR="003E52DC" w:rsidRPr="00AF3038">
              <w:rPr>
                <w:rFonts w:ascii="Arial" w:hAnsi="Arial" w:cs="Arial"/>
                <w:color w:val="auto"/>
              </w:rPr>
              <w:t>(e)</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4.2.1 </w:t>
            </w:r>
            <w:r w:rsidRPr="00AF3038">
              <w:rPr>
                <w:rFonts w:ascii="Arial" w:hAnsi="Arial" w:cs="Arial"/>
                <w:caps/>
                <w:color w:val="auto"/>
              </w:rPr>
              <w:t>A</w:t>
            </w:r>
            <w:r w:rsidRPr="00AF3038">
              <w:rPr>
                <w:rFonts w:ascii="Arial" w:hAnsi="Arial" w:cs="Arial"/>
                <w:color w:val="auto"/>
              </w:rPr>
              <w:t>cquisition of assets, goods and services</w:t>
            </w:r>
          </w:p>
          <w:p w:rsidR="006D2B68" w:rsidRPr="00AF3038" w:rsidRDefault="0054074D"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Instruction 3.4, clause</w:t>
            </w:r>
            <w:r w:rsidR="00ED443D" w:rsidRPr="00AF3038">
              <w:rPr>
                <w:rFonts w:ascii="Arial" w:hAnsi="Arial" w:cs="Arial"/>
                <w:color w:val="auto"/>
              </w:rPr>
              <w:t xml:space="preserve">10 - </w:t>
            </w:r>
            <w:r w:rsidR="003E52DC" w:rsidRPr="00AF3038">
              <w:rPr>
                <w:rFonts w:ascii="Arial" w:hAnsi="Arial" w:cs="Arial"/>
                <w:color w:val="auto"/>
              </w:rPr>
              <w:t>Managing shared services and outsourcing arrangements</w:t>
            </w:r>
          </w:p>
        </w:tc>
        <w:tc>
          <w:tcPr>
            <w:tcW w:w="9105" w:type="dxa"/>
            <w:tcBorders>
              <w:left w:val="none" w:sz="0" w:space="0" w:color="auto"/>
              <w:right w:val="none" w:sz="0" w:space="0" w:color="auto"/>
            </w:tcBorders>
          </w:tcPr>
          <w:p w:rsidR="006D2B68" w:rsidRPr="00AF3038" w:rsidRDefault="006D2B68" w:rsidP="00561ECF">
            <w:pPr>
              <w:numPr>
                <w:ilvl w:val="0"/>
                <w:numId w:val="13"/>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00D248ED" w:rsidRPr="00AF3038">
              <w:rPr>
                <w:rFonts w:ascii="Arial" w:hAnsi="Arial" w:cs="Arial"/>
                <w:color w:val="auto"/>
              </w:rPr>
              <w:t xml:space="preserve"> 2003</w:t>
            </w:r>
            <w:r w:rsidRPr="00AF3038">
              <w:rPr>
                <w:rFonts w:ascii="Arial" w:hAnsi="Arial" w:cs="Arial"/>
                <w:color w:val="auto"/>
              </w:rPr>
              <w:t xml:space="preserve"> Direction for current and future contracts for assets, goods and services.</w:t>
            </w:r>
          </w:p>
          <w:p w:rsidR="006D2B68" w:rsidRPr="00AF3038" w:rsidRDefault="006D2B68" w:rsidP="00561ECF">
            <w:pPr>
              <w:numPr>
                <w:ilvl w:val="0"/>
                <w:numId w:val="13"/>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Embed</w:t>
            </w:r>
            <w:r w:rsidR="003E52DC" w:rsidRPr="00AF3038">
              <w:rPr>
                <w:rFonts w:ascii="Arial" w:hAnsi="Arial" w:cs="Arial"/>
                <w:color w:val="auto"/>
              </w:rPr>
              <w:t>s</w:t>
            </w:r>
            <w:r w:rsidRPr="00AF3038">
              <w:rPr>
                <w:rFonts w:ascii="Arial" w:hAnsi="Arial" w:cs="Arial"/>
                <w:color w:val="auto"/>
              </w:rPr>
              <w:t xml:space="preserve"> requirement for Responsible Body oversight of sh</w:t>
            </w:r>
            <w:r w:rsidR="00556417">
              <w:rPr>
                <w:rFonts w:ascii="Arial" w:hAnsi="Arial" w:cs="Arial"/>
                <w:color w:val="auto"/>
              </w:rPr>
              <w:t>ared services in the e</w:t>
            </w:r>
            <w:r w:rsidR="00D248ED" w:rsidRPr="00AF3038">
              <w:rPr>
                <w:rFonts w:ascii="Arial" w:hAnsi="Arial" w:cs="Arial"/>
                <w:color w:val="auto"/>
              </w:rPr>
              <w:t>ffective financial g</w:t>
            </w:r>
            <w:r w:rsidRPr="00AF3038">
              <w:rPr>
                <w:rFonts w:ascii="Arial" w:hAnsi="Arial" w:cs="Arial"/>
                <w:color w:val="auto"/>
              </w:rPr>
              <w:t>overnance Direction.</w:t>
            </w:r>
          </w:p>
          <w:p w:rsidR="00D248ED" w:rsidRPr="00AF3038" w:rsidRDefault="00D248ED" w:rsidP="00561ECF">
            <w:pPr>
              <w:numPr>
                <w:ilvl w:val="0"/>
                <w:numId w:val="13"/>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Specific requ</w:t>
            </w:r>
            <w:r w:rsidR="0054074D">
              <w:rPr>
                <w:rFonts w:ascii="Arial" w:hAnsi="Arial" w:cs="Arial"/>
                <w:color w:val="auto"/>
              </w:rPr>
              <w:t>irements now in Instruction 3.4, clause</w:t>
            </w:r>
            <w:r w:rsidRPr="00AF3038">
              <w:rPr>
                <w:rFonts w:ascii="Arial" w:hAnsi="Arial" w:cs="Arial"/>
                <w:color w:val="auto"/>
              </w:rPr>
              <w:t>10.</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3.2 Information t</w:t>
            </w:r>
            <w:r w:rsidR="006D2B68" w:rsidRPr="00AF3038">
              <w:rPr>
                <w:rFonts w:ascii="Arial" w:hAnsi="Arial" w:cs="Arial"/>
                <w:b w:val="0"/>
                <w:color w:val="auto"/>
              </w:rPr>
              <w:t xml:space="preserve">echnology </w:t>
            </w:r>
            <w:r w:rsidR="008718E6" w:rsidRPr="00AF3038">
              <w:rPr>
                <w:rFonts w:ascii="Arial" w:hAnsi="Arial" w:cs="Arial"/>
                <w:b w:val="0"/>
                <w:color w:val="auto"/>
              </w:rPr>
              <w:t>systems</w:t>
            </w:r>
          </w:p>
          <w:p w:rsidR="008718E6" w:rsidRPr="00AF3038" w:rsidRDefault="008718E6" w:rsidP="00822E7D">
            <w:pPr>
              <w:rPr>
                <w:rFonts w:ascii="Arial" w:hAnsi="Arial" w:cs="Arial"/>
                <w:b w:val="0"/>
                <w:color w:val="auto"/>
              </w:rPr>
            </w:pPr>
            <w:r w:rsidRPr="00AF3038">
              <w:rPr>
                <w:rFonts w:ascii="Arial" w:hAnsi="Arial" w:cs="Arial"/>
                <w:b w:val="0"/>
                <w:color w:val="auto"/>
              </w:rPr>
              <w:t>3.2.1 Information technology management</w:t>
            </w:r>
          </w:p>
          <w:p w:rsidR="008718E6" w:rsidRPr="00AF3038" w:rsidRDefault="008718E6" w:rsidP="00822E7D">
            <w:pPr>
              <w:rPr>
                <w:rFonts w:ascii="Arial" w:hAnsi="Arial" w:cs="Arial"/>
                <w:b w:val="0"/>
                <w:color w:val="auto"/>
              </w:rPr>
            </w:pPr>
            <w:r w:rsidRPr="00AF3038">
              <w:rPr>
                <w:rFonts w:ascii="Arial" w:hAnsi="Arial" w:cs="Arial"/>
                <w:b w:val="0"/>
                <w:color w:val="auto"/>
              </w:rPr>
              <w:t>3.2.2 Information technology operations</w:t>
            </w:r>
          </w:p>
          <w:p w:rsidR="008718E6" w:rsidRPr="00AF3038" w:rsidRDefault="008718E6" w:rsidP="00822E7D">
            <w:pPr>
              <w:rPr>
                <w:rFonts w:ascii="Arial" w:hAnsi="Arial" w:cs="Arial"/>
                <w:b w:val="0"/>
                <w:color w:val="auto"/>
              </w:rPr>
            </w:pPr>
            <w:r w:rsidRPr="00AF3038">
              <w:rPr>
                <w:rFonts w:ascii="Arial" w:hAnsi="Arial" w:cs="Arial"/>
                <w:b w:val="0"/>
                <w:color w:val="auto"/>
              </w:rPr>
              <w:t>3.2.3 Security</w:t>
            </w:r>
          </w:p>
          <w:p w:rsidR="008718E6" w:rsidRPr="00AF3038" w:rsidRDefault="008718E6" w:rsidP="00822E7D">
            <w:pPr>
              <w:rPr>
                <w:rFonts w:ascii="Arial" w:hAnsi="Arial" w:cs="Arial"/>
                <w:b w:val="0"/>
                <w:color w:val="auto"/>
              </w:rPr>
            </w:pPr>
            <w:r w:rsidRPr="00AF3038">
              <w:rPr>
                <w:rFonts w:ascii="Arial" w:hAnsi="Arial" w:cs="Arial"/>
                <w:b w:val="0"/>
                <w:color w:val="auto"/>
              </w:rPr>
              <w:t>3.2.4 Development</w:t>
            </w:r>
          </w:p>
          <w:p w:rsidR="00F46F2A" w:rsidRDefault="00F46F2A" w:rsidP="00822E7D">
            <w:pPr>
              <w:rPr>
                <w:rFonts w:ascii="Arial" w:hAnsi="Arial" w:cs="Arial"/>
                <w:b w:val="0"/>
                <w:color w:val="auto"/>
              </w:rPr>
            </w:pPr>
            <w:r w:rsidRPr="00AF3038">
              <w:rPr>
                <w:rFonts w:ascii="Arial" w:hAnsi="Arial" w:cs="Arial"/>
                <w:b w:val="0"/>
                <w:color w:val="auto"/>
              </w:rPr>
              <w:t>3.2.5 Change control</w:t>
            </w:r>
          </w:p>
          <w:p w:rsidR="001B1823" w:rsidRDefault="001B1823" w:rsidP="00822E7D">
            <w:pPr>
              <w:rPr>
                <w:rFonts w:ascii="Arial" w:hAnsi="Arial" w:cs="Arial"/>
                <w:b w:val="0"/>
                <w:color w:val="auto"/>
              </w:rPr>
            </w:pPr>
          </w:p>
          <w:p w:rsidR="00600B02" w:rsidRPr="00AF3038" w:rsidRDefault="00600B02" w:rsidP="00822E7D">
            <w:pPr>
              <w:rPr>
                <w:rFonts w:ascii="Arial" w:hAnsi="Arial" w:cs="Arial"/>
                <w:b w:val="0"/>
                <w:color w:val="auto"/>
              </w:rPr>
            </w:pPr>
          </w:p>
        </w:tc>
        <w:tc>
          <w:tcPr>
            <w:tcW w:w="2693" w:type="dxa"/>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w:t>
            </w:r>
            <w:r w:rsidR="004B3DE7" w:rsidRPr="00AF3038">
              <w:rPr>
                <w:rFonts w:ascii="Arial" w:hAnsi="Arial" w:cs="Arial"/>
                <w:color w:val="auto"/>
              </w:rPr>
              <w:t>9</w:t>
            </w:r>
            <w:r w:rsidRPr="00AF3038">
              <w:rPr>
                <w:rFonts w:ascii="Arial" w:hAnsi="Arial" w:cs="Arial"/>
                <w:color w:val="auto"/>
              </w:rPr>
              <w:t xml:space="preserve"> Managing Information</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105" w:type="dxa"/>
          </w:tcPr>
          <w:p w:rsidR="006D2B68" w:rsidRPr="00AF3038" w:rsidRDefault="006D2B68" w:rsidP="001264AF">
            <w:pPr>
              <w:pStyle w:val="ListParagraph"/>
              <w:numPr>
                <w:ilvl w:val="0"/>
                <w:numId w:val="25"/>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bCs/>
                <w:color w:val="auto"/>
              </w:rPr>
              <w:t xml:space="preserve">Substantial change from detailed requirements </w:t>
            </w:r>
            <w:r w:rsidR="001264AF">
              <w:rPr>
                <w:rFonts w:ascii="Arial" w:hAnsi="Arial" w:cs="Arial"/>
                <w:color w:val="auto"/>
              </w:rPr>
              <w:t>(see</w:t>
            </w:r>
            <w:r w:rsidR="00D248ED" w:rsidRPr="00AF3038">
              <w:rPr>
                <w:rFonts w:ascii="Arial" w:hAnsi="Arial" w:cs="Arial"/>
                <w:color w:val="auto"/>
              </w:rPr>
              <w:t xml:space="preserve"> </w:t>
            </w:r>
            <w:r w:rsidR="00556417">
              <w:rPr>
                <w:rFonts w:ascii="Arial" w:hAnsi="Arial" w:cs="Arial"/>
                <w:color w:val="auto"/>
              </w:rPr>
              <w:t xml:space="preserve">discussion under </w:t>
            </w:r>
            <w:r w:rsidR="001264AF">
              <w:rPr>
                <w:rFonts w:ascii="Arial" w:hAnsi="Arial" w:cs="Arial"/>
                <w:color w:val="auto"/>
              </w:rPr>
              <w:t xml:space="preserve">2003 </w:t>
            </w:r>
            <w:r w:rsidR="00D248ED" w:rsidRPr="00AF3038">
              <w:rPr>
                <w:rFonts w:ascii="Arial" w:hAnsi="Arial" w:cs="Arial"/>
                <w:color w:val="auto"/>
              </w:rPr>
              <w:t xml:space="preserve">Direction </w:t>
            </w:r>
            <w:r w:rsidR="00556417">
              <w:rPr>
                <w:rFonts w:ascii="Arial" w:hAnsi="Arial" w:cs="Arial"/>
                <w:color w:val="auto"/>
              </w:rPr>
              <w:t>3.4.13 i</w:t>
            </w:r>
            <w:r w:rsidR="008718E6" w:rsidRPr="00AF3038">
              <w:rPr>
                <w:rFonts w:ascii="Arial" w:hAnsi="Arial" w:cs="Arial"/>
                <w:color w:val="auto"/>
              </w:rPr>
              <w:t>nformation c</w:t>
            </w:r>
            <w:r w:rsidRPr="00AF3038">
              <w:rPr>
                <w:rFonts w:ascii="Arial" w:hAnsi="Arial" w:cs="Arial"/>
                <w:color w:val="auto"/>
              </w:rPr>
              <w:t xml:space="preserve">ollection </w:t>
            </w:r>
            <w:r w:rsidR="008718E6" w:rsidRPr="00AF3038">
              <w:rPr>
                <w:rFonts w:ascii="Arial" w:hAnsi="Arial" w:cs="Arial"/>
                <w:color w:val="auto"/>
              </w:rPr>
              <w:t>and m</w:t>
            </w:r>
            <w:r w:rsidR="0050049C" w:rsidRPr="00AF3038">
              <w:rPr>
                <w:rFonts w:ascii="Arial" w:hAnsi="Arial" w:cs="Arial"/>
                <w:color w:val="auto"/>
              </w:rPr>
              <w:t>anagement</w:t>
            </w:r>
            <w:r w:rsidR="009B7012" w:rsidRPr="00AF3038">
              <w:rPr>
                <w:rFonts w:ascii="Arial" w:hAnsi="Arial" w:cs="Arial"/>
                <w:color w:val="auto"/>
              </w:rPr>
              <w:t xml:space="preserve"> below</w:t>
            </w:r>
            <w:r w:rsidR="0050049C" w:rsidRPr="00AF3038">
              <w:rPr>
                <w:rFonts w:ascii="Arial" w:hAnsi="Arial" w:cs="Arial"/>
                <w:color w:val="auto"/>
              </w:rPr>
              <w:t>)</w:t>
            </w:r>
            <w:r w:rsidRPr="00AF3038">
              <w:rPr>
                <w:rFonts w:ascii="Arial" w:hAnsi="Arial" w:cs="Arial"/>
                <w:color w:val="auto"/>
              </w:rPr>
              <w:t>.</w:t>
            </w: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3.3 Education and t</w:t>
            </w:r>
            <w:r w:rsidR="006D2B68" w:rsidRPr="00AF3038">
              <w:rPr>
                <w:rFonts w:ascii="Arial" w:hAnsi="Arial" w:cs="Arial"/>
                <w:b w:val="0"/>
                <w:color w:val="auto"/>
              </w:rPr>
              <w:t>raining</w:t>
            </w:r>
          </w:p>
        </w:tc>
        <w:tc>
          <w:tcPr>
            <w:tcW w:w="2693" w:type="dxa"/>
            <w:tcBorders>
              <w:left w:val="none" w:sz="0" w:space="0" w:color="auto"/>
              <w:right w:val="none" w:sz="0" w:space="0" w:color="auto"/>
            </w:tcBorders>
          </w:tcPr>
          <w:p w:rsidR="006D2B68" w:rsidRPr="00AF3038" w:rsidRDefault="003E52DC"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2.4 C</w:t>
            </w:r>
            <w:r w:rsidR="00354DEA" w:rsidRPr="00AF3038">
              <w:rPr>
                <w:rFonts w:ascii="Arial" w:hAnsi="Arial" w:cs="Arial"/>
                <w:color w:val="auto"/>
              </w:rPr>
              <w:t xml:space="preserve">hief </w:t>
            </w:r>
            <w:r w:rsidRPr="00AF3038">
              <w:rPr>
                <w:rFonts w:ascii="Arial" w:hAnsi="Arial" w:cs="Arial"/>
                <w:color w:val="auto"/>
              </w:rPr>
              <w:t>F</w:t>
            </w:r>
            <w:r w:rsidR="00354DEA" w:rsidRPr="00AF3038">
              <w:rPr>
                <w:rFonts w:ascii="Arial" w:hAnsi="Arial" w:cs="Arial"/>
                <w:color w:val="auto"/>
              </w:rPr>
              <w:t xml:space="preserve">inance </w:t>
            </w:r>
            <w:r w:rsidR="006D2B68" w:rsidRPr="00AF3038">
              <w:rPr>
                <w:rFonts w:ascii="Arial" w:hAnsi="Arial" w:cs="Arial"/>
                <w:color w:val="auto"/>
              </w:rPr>
              <w:t>O</w:t>
            </w:r>
            <w:r w:rsidR="00354DEA" w:rsidRPr="00AF3038">
              <w:rPr>
                <w:rFonts w:ascii="Arial" w:hAnsi="Arial" w:cs="Arial"/>
                <w:color w:val="auto"/>
              </w:rPr>
              <w:t>fficer</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tc>
        <w:tc>
          <w:tcPr>
            <w:tcW w:w="9105" w:type="dxa"/>
            <w:tcBorders>
              <w:left w:val="none" w:sz="0" w:space="0" w:color="auto"/>
              <w:right w:val="none" w:sz="0" w:space="0" w:color="auto"/>
            </w:tcBorders>
          </w:tcPr>
          <w:p w:rsidR="006D2B68" w:rsidRPr="00AF3038" w:rsidRDefault="006D2B68" w:rsidP="00561ECF">
            <w:pPr>
              <w:numPr>
                <w:ilvl w:val="0"/>
                <w:numId w:val="13"/>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Embed</w:t>
            </w:r>
            <w:r w:rsidR="003E52DC" w:rsidRPr="00AF3038">
              <w:rPr>
                <w:rFonts w:ascii="Arial" w:hAnsi="Arial" w:cs="Arial"/>
                <w:color w:val="auto"/>
              </w:rPr>
              <w:t>s</w:t>
            </w:r>
            <w:r w:rsidR="00556417">
              <w:rPr>
                <w:rFonts w:ascii="Arial" w:hAnsi="Arial" w:cs="Arial"/>
                <w:color w:val="auto"/>
              </w:rPr>
              <w:t xml:space="preserve"> requirements within the e</w:t>
            </w:r>
            <w:r w:rsidRPr="00AF3038">
              <w:rPr>
                <w:rFonts w:ascii="Arial" w:hAnsi="Arial" w:cs="Arial"/>
                <w:color w:val="auto"/>
              </w:rPr>
              <w:t>ffect</w:t>
            </w:r>
            <w:r w:rsidR="003E52DC" w:rsidRPr="00AF3038">
              <w:rPr>
                <w:rFonts w:ascii="Arial" w:hAnsi="Arial" w:cs="Arial"/>
                <w:color w:val="auto"/>
              </w:rPr>
              <w:t>ive financial governance and CF</w:t>
            </w:r>
            <w:r w:rsidRPr="00AF3038">
              <w:rPr>
                <w:rFonts w:ascii="Arial" w:hAnsi="Arial" w:cs="Arial"/>
                <w:color w:val="auto"/>
              </w:rPr>
              <w:t>O Directions.</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D35ADF">
            <w:pPr>
              <w:rPr>
                <w:rFonts w:ascii="Arial" w:hAnsi="Arial" w:cs="Arial"/>
                <w:b w:val="0"/>
                <w:color w:val="auto"/>
              </w:rPr>
            </w:pPr>
            <w:r w:rsidRPr="00AF3038">
              <w:rPr>
                <w:rFonts w:ascii="Arial" w:hAnsi="Arial" w:cs="Arial"/>
                <w:b w:val="0"/>
                <w:color w:val="auto"/>
              </w:rPr>
              <w:t>3.4 Policies and p</w:t>
            </w:r>
            <w:r w:rsidR="006D2B68" w:rsidRPr="00AF3038">
              <w:rPr>
                <w:rFonts w:ascii="Arial" w:hAnsi="Arial" w:cs="Arial"/>
                <w:b w:val="0"/>
                <w:color w:val="auto"/>
              </w:rPr>
              <w:t>rocedures</w:t>
            </w:r>
          </w:p>
          <w:p w:rsidR="006D2B68" w:rsidRPr="00AF3038" w:rsidRDefault="00D35ADF" w:rsidP="00822E7D">
            <w:pPr>
              <w:rPr>
                <w:rFonts w:ascii="Arial" w:hAnsi="Arial" w:cs="Arial"/>
                <w:b w:val="0"/>
                <w:color w:val="auto"/>
              </w:rPr>
            </w:pPr>
            <w:r w:rsidRPr="00AF3038">
              <w:rPr>
                <w:rFonts w:ascii="Arial" w:hAnsi="Arial" w:cs="Arial"/>
                <w:b w:val="0"/>
                <w:color w:val="auto"/>
              </w:rPr>
              <w:t xml:space="preserve">3.4.1 </w:t>
            </w:r>
            <w:r w:rsidR="006D2B68" w:rsidRPr="00AF3038">
              <w:rPr>
                <w:rFonts w:ascii="Arial" w:hAnsi="Arial" w:cs="Arial"/>
                <w:b w:val="0"/>
                <w:color w:val="auto"/>
              </w:rPr>
              <w:t>Revenue</w:t>
            </w:r>
          </w:p>
          <w:p w:rsidR="006D2B68" w:rsidRPr="00AF3038" w:rsidRDefault="00D35ADF" w:rsidP="00822E7D">
            <w:pPr>
              <w:rPr>
                <w:rFonts w:ascii="Arial" w:hAnsi="Arial" w:cs="Arial"/>
                <w:b w:val="0"/>
                <w:color w:val="auto"/>
              </w:rPr>
            </w:pPr>
            <w:r w:rsidRPr="00AF3038">
              <w:rPr>
                <w:rFonts w:ascii="Arial" w:hAnsi="Arial" w:cs="Arial"/>
                <w:b w:val="0"/>
                <w:color w:val="auto"/>
              </w:rPr>
              <w:t>3.4.2 Cash h</w:t>
            </w:r>
            <w:r w:rsidR="006D2B68" w:rsidRPr="00AF3038">
              <w:rPr>
                <w:rFonts w:ascii="Arial" w:hAnsi="Arial" w:cs="Arial"/>
                <w:b w:val="0"/>
                <w:color w:val="auto"/>
              </w:rPr>
              <w:t>andling</w:t>
            </w:r>
          </w:p>
          <w:p w:rsidR="006D2B68" w:rsidRPr="00AF3038" w:rsidRDefault="00D35ADF" w:rsidP="00822E7D">
            <w:pPr>
              <w:rPr>
                <w:rFonts w:ascii="Arial" w:hAnsi="Arial" w:cs="Arial"/>
                <w:b w:val="0"/>
                <w:color w:val="auto"/>
              </w:rPr>
            </w:pPr>
            <w:r w:rsidRPr="00AF3038">
              <w:rPr>
                <w:rFonts w:ascii="Arial" w:hAnsi="Arial" w:cs="Arial"/>
                <w:b w:val="0"/>
                <w:color w:val="auto"/>
              </w:rPr>
              <w:t>3.4.3 Bank a</w:t>
            </w:r>
            <w:r w:rsidR="006D2B68" w:rsidRPr="00AF3038">
              <w:rPr>
                <w:rFonts w:ascii="Arial" w:hAnsi="Arial" w:cs="Arial"/>
                <w:b w:val="0"/>
                <w:color w:val="auto"/>
              </w:rPr>
              <w:t>ccounts</w:t>
            </w:r>
          </w:p>
          <w:p w:rsidR="006D2B68" w:rsidRPr="00AF3038" w:rsidRDefault="00D35ADF" w:rsidP="00822E7D">
            <w:pPr>
              <w:rPr>
                <w:rFonts w:ascii="Arial" w:hAnsi="Arial" w:cs="Arial"/>
                <w:b w:val="0"/>
                <w:color w:val="auto"/>
              </w:rPr>
            </w:pPr>
            <w:r w:rsidRPr="00AF3038">
              <w:rPr>
                <w:rFonts w:ascii="Arial" w:hAnsi="Arial" w:cs="Arial"/>
                <w:b w:val="0"/>
                <w:color w:val="auto"/>
              </w:rPr>
              <w:t>3.4.4 Cash flow f</w:t>
            </w:r>
            <w:r w:rsidR="006D2B68" w:rsidRPr="00AF3038">
              <w:rPr>
                <w:rFonts w:ascii="Arial" w:hAnsi="Arial" w:cs="Arial"/>
                <w:b w:val="0"/>
                <w:color w:val="auto"/>
              </w:rPr>
              <w:t>orecasting</w:t>
            </w:r>
          </w:p>
          <w:p w:rsidR="006D2B68" w:rsidRPr="00AF3038" w:rsidRDefault="00D35ADF" w:rsidP="00822E7D">
            <w:pPr>
              <w:rPr>
                <w:rFonts w:ascii="Arial" w:hAnsi="Arial" w:cs="Arial"/>
                <w:b w:val="0"/>
                <w:color w:val="auto"/>
              </w:rPr>
            </w:pPr>
            <w:r w:rsidRPr="00AF3038">
              <w:rPr>
                <w:rFonts w:ascii="Arial" w:hAnsi="Arial" w:cs="Arial"/>
                <w:b w:val="0"/>
                <w:color w:val="auto"/>
              </w:rPr>
              <w:t xml:space="preserve">3.4.6 </w:t>
            </w:r>
            <w:r w:rsidR="006D2B68" w:rsidRPr="00AF3038">
              <w:rPr>
                <w:rFonts w:ascii="Arial" w:hAnsi="Arial" w:cs="Arial"/>
                <w:b w:val="0"/>
                <w:color w:val="auto"/>
              </w:rPr>
              <w:t>Expenditure</w:t>
            </w:r>
          </w:p>
          <w:p w:rsidR="006D2B68" w:rsidRPr="00AF3038" w:rsidRDefault="00D35ADF" w:rsidP="00822E7D">
            <w:pPr>
              <w:rPr>
                <w:rFonts w:ascii="Arial" w:hAnsi="Arial" w:cs="Arial"/>
                <w:b w:val="0"/>
                <w:color w:val="auto"/>
              </w:rPr>
            </w:pPr>
            <w:r w:rsidRPr="00AF3038">
              <w:rPr>
                <w:rFonts w:ascii="Arial" w:hAnsi="Arial" w:cs="Arial"/>
                <w:b w:val="0"/>
                <w:color w:val="auto"/>
              </w:rPr>
              <w:t>3.4.7 Employee c</w:t>
            </w:r>
            <w:r w:rsidR="006D2B68" w:rsidRPr="00AF3038">
              <w:rPr>
                <w:rFonts w:ascii="Arial" w:hAnsi="Arial" w:cs="Arial"/>
                <w:b w:val="0"/>
                <w:color w:val="auto"/>
              </w:rPr>
              <w:t>osts</w:t>
            </w:r>
          </w:p>
          <w:p w:rsidR="006D2B68" w:rsidRPr="00AF3038" w:rsidRDefault="00D35ADF" w:rsidP="00822E7D">
            <w:pPr>
              <w:rPr>
                <w:rFonts w:ascii="Arial" w:hAnsi="Arial" w:cs="Arial"/>
                <w:b w:val="0"/>
                <w:color w:val="auto"/>
              </w:rPr>
            </w:pPr>
            <w:r w:rsidRPr="00AF3038">
              <w:rPr>
                <w:rFonts w:ascii="Arial" w:hAnsi="Arial" w:cs="Arial"/>
                <w:b w:val="0"/>
                <w:color w:val="auto"/>
              </w:rPr>
              <w:t xml:space="preserve">3.4.8 </w:t>
            </w:r>
            <w:r w:rsidR="006D2B68" w:rsidRPr="00AF3038">
              <w:rPr>
                <w:rFonts w:ascii="Arial" w:hAnsi="Arial" w:cs="Arial"/>
                <w:b w:val="0"/>
                <w:color w:val="auto"/>
              </w:rPr>
              <w:t xml:space="preserve">Commission on </w:t>
            </w:r>
            <w:r w:rsidRPr="00AF3038">
              <w:rPr>
                <w:rFonts w:ascii="Arial" w:hAnsi="Arial" w:cs="Arial"/>
                <w:b w:val="0"/>
                <w:color w:val="auto"/>
              </w:rPr>
              <w:t>employee payroll d</w:t>
            </w:r>
            <w:r w:rsidR="006D2B68" w:rsidRPr="00AF3038">
              <w:rPr>
                <w:rFonts w:ascii="Arial" w:hAnsi="Arial" w:cs="Arial"/>
                <w:b w:val="0"/>
                <w:color w:val="auto"/>
              </w:rPr>
              <w:t>eductions</w:t>
            </w:r>
          </w:p>
          <w:p w:rsidR="006D2B68" w:rsidRPr="00AF3038" w:rsidRDefault="00D35ADF" w:rsidP="00822E7D">
            <w:pPr>
              <w:rPr>
                <w:rFonts w:ascii="Arial" w:hAnsi="Arial" w:cs="Arial"/>
                <w:b w:val="0"/>
                <w:color w:val="auto"/>
              </w:rPr>
            </w:pPr>
            <w:r w:rsidRPr="00AF3038">
              <w:rPr>
                <w:rFonts w:ascii="Arial" w:hAnsi="Arial" w:cs="Arial"/>
                <w:b w:val="0"/>
                <w:color w:val="auto"/>
              </w:rPr>
              <w:t xml:space="preserve">3.4.10 </w:t>
            </w:r>
            <w:r w:rsidR="006D2B68" w:rsidRPr="00AF3038">
              <w:rPr>
                <w:rFonts w:ascii="Arial" w:hAnsi="Arial" w:cs="Arial"/>
                <w:b w:val="0"/>
                <w:color w:val="auto"/>
              </w:rPr>
              <w:t>Liabilities</w:t>
            </w:r>
          </w:p>
          <w:p w:rsidR="006D2B68" w:rsidRPr="00AF3038" w:rsidRDefault="00D35ADF" w:rsidP="00822E7D">
            <w:pPr>
              <w:rPr>
                <w:rFonts w:ascii="Arial" w:hAnsi="Arial" w:cs="Arial"/>
                <w:b w:val="0"/>
                <w:color w:val="auto"/>
              </w:rPr>
            </w:pPr>
            <w:r w:rsidRPr="00AF3038">
              <w:rPr>
                <w:rFonts w:ascii="Arial" w:hAnsi="Arial" w:cs="Arial"/>
                <w:b w:val="0"/>
                <w:color w:val="auto"/>
              </w:rPr>
              <w:t xml:space="preserve">3.4.11 </w:t>
            </w:r>
            <w:r w:rsidR="006D2B68" w:rsidRPr="00AF3038">
              <w:rPr>
                <w:rFonts w:ascii="Arial" w:hAnsi="Arial" w:cs="Arial"/>
                <w:b w:val="0"/>
                <w:color w:val="auto"/>
              </w:rPr>
              <w:t>Reconciliations</w:t>
            </w:r>
          </w:p>
        </w:tc>
        <w:tc>
          <w:tcPr>
            <w:tcW w:w="2693" w:type="dxa"/>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 xml:space="preserve">3.4 Internal control system </w:t>
            </w:r>
          </w:p>
          <w:p w:rsidR="006D2B68" w:rsidRPr="00AF3038" w:rsidRDefault="00556417"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Instruction</w:t>
            </w:r>
            <w:r w:rsidR="00D60AFC" w:rsidRPr="00AF3038">
              <w:rPr>
                <w:rFonts w:ascii="Arial" w:hAnsi="Arial" w:cs="Arial"/>
                <w:color w:val="auto"/>
              </w:rPr>
              <w:t xml:space="preserve"> 3.4.</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9105" w:type="dxa"/>
          </w:tcPr>
          <w:p w:rsidR="006D2B68" w:rsidRPr="00AF3038" w:rsidRDefault="006D2B68" w:rsidP="00561ECF">
            <w:pPr>
              <w:numPr>
                <w:ilvl w:val="0"/>
                <w:numId w:val="17"/>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Introduce</w:t>
            </w:r>
            <w:r w:rsidR="003E52DC" w:rsidRPr="00AF3038">
              <w:rPr>
                <w:rFonts w:ascii="Arial" w:hAnsi="Arial" w:cs="Arial"/>
                <w:color w:val="auto"/>
              </w:rPr>
              <w:t>s</w:t>
            </w:r>
            <w:r w:rsidRPr="00AF3038">
              <w:rPr>
                <w:rFonts w:ascii="Arial" w:hAnsi="Arial" w:cs="Arial"/>
                <w:color w:val="auto"/>
              </w:rPr>
              <w:t xml:space="preserve"> a separate and explicit expectation on the Accountab</w:t>
            </w:r>
            <w:r w:rsidR="00D60AFC" w:rsidRPr="00AF3038">
              <w:rPr>
                <w:rFonts w:ascii="Arial" w:hAnsi="Arial" w:cs="Arial"/>
                <w:color w:val="auto"/>
              </w:rPr>
              <w:t>le Officer to establish (and CF</w:t>
            </w:r>
            <w:r w:rsidRPr="00AF3038">
              <w:rPr>
                <w:rFonts w:ascii="Arial" w:hAnsi="Arial" w:cs="Arial"/>
                <w:color w:val="auto"/>
              </w:rPr>
              <w:t xml:space="preserve">Os to implement and maintain) an effective internal control system </w:t>
            </w:r>
            <w:r w:rsidR="00F46F2A" w:rsidRPr="00AF3038">
              <w:rPr>
                <w:rFonts w:ascii="Arial" w:hAnsi="Arial" w:cs="Arial"/>
                <w:color w:val="auto"/>
              </w:rPr>
              <w:t>in relation to financial management</w:t>
            </w:r>
            <w:r w:rsidR="0050049C" w:rsidRPr="00AF3038">
              <w:rPr>
                <w:rFonts w:ascii="Arial" w:hAnsi="Arial" w:cs="Arial"/>
                <w:color w:val="auto"/>
              </w:rPr>
              <w:t>,</w:t>
            </w:r>
            <w:r w:rsidR="00F46F2A" w:rsidRPr="00AF3038">
              <w:rPr>
                <w:rFonts w:ascii="Arial" w:hAnsi="Arial" w:cs="Arial"/>
                <w:color w:val="auto"/>
              </w:rPr>
              <w:t xml:space="preserve"> performance and sustainability, </w:t>
            </w:r>
            <w:r w:rsidRPr="00AF3038">
              <w:rPr>
                <w:rFonts w:ascii="Arial" w:hAnsi="Arial" w:cs="Arial"/>
                <w:color w:val="auto"/>
              </w:rPr>
              <w:t>including financial, operational and compliance controls.</w:t>
            </w:r>
          </w:p>
          <w:p w:rsidR="006D2B68" w:rsidRPr="00AF3038" w:rsidRDefault="00556417" w:rsidP="00561ECF">
            <w:pPr>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Instruction 3.4</w:t>
            </w:r>
            <w:r w:rsidR="00F46F2A" w:rsidRPr="00AF3038">
              <w:rPr>
                <w:rFonts w:ascii="Arial" w:hAnsi="Arial" w:cs="Arial"/>
                <w:color w:val="auto"/>
              </w:rPr>
              <w:t xml:space="preserve"> s</w:t>
            </w:r>
            <w:r w:rsidR="003E52DC" w:rsidRPr="00AF3038">
              <w:rPr>
                <w:rFonts w:ascii="Arial" w:hAnsi="Arial" w:cs="Arial"/>
                <w:color w:val="auto"/>
              </w:rPr>
              <w:t>pecifies</w:t>
            </w:r>
            <w:r w:rsidR="006D2B68" w:rsidRPr="00AF3038">
              <w:rPr>
                <w:rFonts w:ascii="Arial" w:hAnsi="Arial" w:cs="Arial"/>
                <w:color w:val="auto"/>
              </w:rPr>
              <w:t xml:space="preserve"> a minimum list of areas for which policies and procedures must be developed, including (but not limited to) revenue, cash, expenditure and liabilities management (as per </w:t>
            </w:r>
            <w:r w:rsidR="00F46F2A" w:rsidRPr="00AF3038">
              <w:rPr>
                <w:rFonts w:ascii="Arial" w:hAnsi="Arial" w:cs="Arial"/>
                <w:color w:val="auto"/>
              </w:rPr>
              <w:t xml:space="preserve">the 2003 </w:t>
            </w:r>
            <w:r w:rsidR="006D2B68" w:rsidRPr="00AF3038">
              <w:rPr>
                <w:rFonts w:ascii="Arial" w:hAnsi="Arial" w:cs="Arial"/>
                <w:color w:val="auto"/>
              </w:rPr>
              <w:t xml:space="preserve">Standing Directions). This </w:t>
            </w:r>
            <w:r w:rsidR="006349DD" w:rsidRPr="00AF3038">
              <w:rPr>
                <w:rFonts w:ascii="Arial" w:hAnsi="Arial" w:cs="Arial"/>
                <w:color w:val="auto"/>
              </w:rPr>
              <w:t>allows</w:t>
            </w:r>
            <w:r w:rsidR="006D2B68" w:rsidRPr="00AF3038">
              <w:rPr>
                <w:rFonts w:ascii="Arial" w:hAnsi="Arial" w:cs="Arial"/>
                <w:color w:val="auto"/>
              </w:rPr>
              <w:t xml:space="preserve"> </w:t>
            </w:r>
            <w:r w:rsidR="006349DD" w:rsidRPr="00AF3038">
              <w:rPr>
                <w:rFonts w:ascii="Arial" w:hAnsi="Arial" w:cs="Arial"/>
                <w:color w:val="auto"/>
              </w:rPr>
              <w:t>all</w:t>
            </w:r>
            <w:r w:rsidR="006D2B68" w:rsidRPr="00AF3038">
              <w:rPr>
                <w:rFonts w:ascii="Arial" w:hAnsi="Arial" w:cs="Arial"/>
                <w:color w:val="auto"/>
              </w:rPr>
              <w:t xml:space="preserve"> agencies </w:t>
            </w:r>
            <w:r w:rsidR="006349DD" w:rsidRPr="00AF3038">
              <w:rPr>
                <w:rFonts w:ascii="Arial" w:hAnsi="Arial" w:cs="Arial"/>
                <w:color w:val="auto"/>
              </w:rPr>
              <w:t xml:space="preserve">to </w:t>
            </w:r>
            <w:r w:rsidR="006D2B68" w:rsidRPr="00AF3038">
              <w:rPr>
                <w:rFonts w:ascii="Arial" w:hAnsi="Arial" w:cs="Arial"/>
                <w:color w:val="auto"/>
              </w:rPr>
              <w:t>develop internal controls for key areas while allowing them the flexibility to implement their own procedures in line with their agency’s needs</w:t>
            </w:r>
            <w:r w:rsidR="0050049C" w:rsidRPr="00AF3038">
              <w:rPr>
                <w:rFonts w:ascii="Arial" w:hAnsi="Arial" w:cs="Arial"/>
                <w:color w:val="auto"/>
              </w:rPr>
              <w:t xml:space="preserve"> and risk profile</w:t>
            </w:r>
            <w:r w:rsidR="006D2B68" w:rsidRPr="00AF3038">
              <w:rPr>
                <w:rFonts w:ascii="Arial" w:hAnsi="Arial" w:cs="Arial"/>
                <w:color w:val="auto"/>
              </w:rPr>
              <w:t>.</w:t>
            </w:r>
          </w:p>
          <w:p w:rsidR="006D2B68" w:rsidRPr="00AF3038" w:rsidRDefault="006D2B68" w:rsidP="00561ECF">
            <w:pPr>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Mandate</w:t>
            </w:r>
            <w:r w:rsidR="003E52DC" w:rsidRPr="00AF3038">
              <w:rPr>
                <w:rFonts w:ascii="Arial" w:hAnsi="Arial" w:cs="Arial"/>
                <w:color w:val="auto"/>
              </w:rPr>
              <w:t>s</w:t>
            </w:r>
            <w:r w:rsidRPr="00AF3038">
              <w:rPr>
                <w:rFonts w:ascii="Arial" w:hAnsi="Arial" w:cs="Arial"/>
                <w:color w:val="auto"/>
              </w:rPr>
              <w:t xml:space="preserve"> under Instructions that the internal control system must set out the five component</w:t>
            </w:r>
            <w:r w:rsidR="00556417">
              <w:rPr>
                <w:rFonts w:ascii="Arial" w:hAnsi="Arial" w:cs="Arial"/>
                <w:color w:val="auto"/>
              </w:rPr>
              <w:t>s of internal control (c</w:t>
            </w:r>
            <w:r w:rsidR="006349DD" w:rsidRPr="00AF3038">
              <w:rPr>
                <w:rFonts w:ascii="Arial" w:hAnsi="Arial" w:cs="Arial"/>
                <w:color w:val="auto"/>
              </w:rPr>
              <w:t>ontrol e</w:t>
            </w:r>
            <w:r w:rsidR="00556417">
              <w:rPr>
                <w:rFonts w:ascii="Arial" w:hAnsi="Arial" w:cs="Arial"/>
                <w:color w:val="auto"/>
              </w:rPr>
              <w:t>nvironment, ri</w:t>
            </w:r>
            <w:r w:rsidR="006349DD" w:rsidRPr="00AF3038">
              <w:rPr>
                <w:rFonts w:ascii="Arial" w:hAnsi="Arial" w:cs="Arial"/>
                <w:color w:val="auto"/>
              </w:rPr>
              <w:t>sk assessm</w:t>
            </w:r>
            <w:r w:rsidR="00556417">
              <w:rPr>
                <w:rFonts w:ascii="Arial" w:hAnsi="Arial" w:cs="Arial"/>
                <w:color w:val="auto"/>
              </w:rPr>
              <w:t>ent, c</w:t>
            </w:r>
            <w:r w:rsidR="006349DD" w:rsidRPr="00AF3038">
              <w:rPr>
                <w:rFonts w:ascii="Arial" w:hAnsi="Arial" w:cs="Arial"/>
                <w:color w:val="auto"/>
              </w:rPr>
              <w:t>ontrol a</w:t>
            </w:r>
            <w:r w:rsidR="00556417">
              <w:rPr>
                <w:rFonts w:ascii="Arial" w:hAnsi="Arial" w:cs="Arial"/>
                <w:color w:val="auto"/>
              </w:rPr>
              <w:t>ctivities, i</w:t>
            </w:r>
            <w:r w:rsidRPr="00AF3038">
              <w:rPr>
                <w:rFonts w:ascii="Arial" w:hAnsi="Arial" w:cs="Arial"/>
                <w:color w:val="auto"/>
              </w:rPr>
              <w:t>nformation an</w:t>
            </w:r>
            <w:r w:rsidR="00556417">
              <w:rPr>
                <w:rFonts w:ascii="Arial" w:hAnsi="Arial" w:cs="Arial"/>
                <w:color w:val="auto"/>
              </w:rPr>
              <w:t>d communication and m</w:t>
            </w:r>
            <w:r w:rsidR="006349DD" w:rsidRPr="00AF3038">
              <w:rPr>
                <w:rFonts w:ascii="Arial" w:hAnsi="Arial" w:cs="Arial"/>
                <w:color w:val="auto"/>
              </w:rPr>
              <w:t>onitoring a</w:t>
            </w:r>
            <w:r w:rsidRPr="00AF3038">
              <w:rPr>
                <w:rFonts w:ascii="Arial" w:hAnsi="Arial" w:cs="Arial"/>
                <w:color w:val="auto"/>
              </w:rPr>
              <w:t>ctivities)</w:t>
            </w:r>
            <w:r w:rsidR="0068490B" w:rsidRPr="00AF3038">
              <w:rPr>
                <w:rFonts w:ascii="Arial" w:hAnsi="Arial" w:cs="Arial"/>
                <w:color w:val="auto"/>
              </w:rPr>
              <w:t>.</w:t>
            </w:r>
            <w:r w:rsidRPr="00AF3038">
              <w:rPr>
                <w:rFonts w:ascii="Arial" w:hAnsi="Arial" w:cs="Arial"/>
                <w:color w:val="auto"/>
              </w:rPr>
              <w:t xml:space="preserve"> </w:t>
            </w:r>
            <w:r w:rsidR="0068490B" w:rsidRPr="00AF3038">
              <w:rPr>
                <w:rFonts w:ascii="Arial" w:hAnsi="Arial" w:cs="Arial"/>
                <w:color w:val="auto"/>
              </w:rPr>
              <w:t xml:space="preserve">This is </w:t>
            </w:r>
            <w:r w:rsidRPr="00AF3038">
              <w:rPr>
                <w:rFonts w:ascii="Arial" w:hAnsi="Arial" w:cs="Arial"/>
                <w:color w:val="auto"/>
              </w:rPr>
              <w:t>consistent with</w:t>
            </w:r>
            <w:r w:rsidR="008718E6" w:rsidRPr="00AF3038">
              <w:rPr>
                <w:rFonts w:ascii="Arial" w:hAnsi="Arial" w:cs="Arial"/>
                <w:color w:val="auto"/>
              </w:rPr>
              <w:t>,</w:t>
            </w:r>
            <w:r w:rsidRPr="00AF3038">
              <w:rPr>
                <w:rFonts w:ascii="Arial" w:hAnsi="Arial" w:cs="Arial"/>
                <w:color w:val="auto"/>
              </w:rPr>
              <w:t xml:space="preserve"> </w:t>
            </w:r>
            <w:r w:rsidR="0068490B" w:rsidRPr="00AF3038">
              <w:rPr>
                <w:rFonts w:ascii="Arial" w:hAnsi="Arial" w:cs="Arial"/>
                <w:color w:val="auto"/>
              </w:rPr>
              <w:t>but does not mandate</w:t>
            </w:r>
            <w:r w:rsidR="008718E6" w:rsidRPr="00AF3038">
              <w:rPr>
                <w:rFonts w:ascii="Arial" w:hAnsi="Arial" w:cs="Arial"/>
                <w:color w:val="auto"/>
              </w:rPr>
              <w:t>,</w:t>
            </w:r>
            <w:r w:rsidR="0068490B" w:rsidRPr="00AF3038">
              <w:rPr>
                <w:rFonts w:ascii="Arial" w:hAnsi="Arial" w:cs="Arial"/>
                <w:color w:val="auto"/>
              </w:rPr>
              <w:t xml:space="preserve"> </w:t>
            </w:r>
            <w:r w:rsidRPr="00AF3038">
              <w:rPr>
                <w:rFonts w:ascii="Arial" w:hAnsi="Arial" w:cs="Arial"/>
                <w:color w:val="auto"/>
              </w:rPr>
              <w:t>the internationally recognised COSO Internal Control-Integrated Framework.</w:t>
            </w:r>
          </w:p>
          <w:p w:rsidR="0050049C" w:rsidRPr="00AF3038" w:rsidRDefault="006D2B68" w:rsidP="00556417">
            <w:pPr>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Mandate</w:t>
            </w:r>
            <w:r w:rsidR="003E52DC" w:rsidRPr="00AF3038">
              <w:rPr>
                <w:rFonts w:ascii="Arial" w:hAnsi="Arial" w:cs="Arial"/>
                <w:color w:val="auto"/>
              </w:rPr>
              <w:t>s</w:t>
            </w:r>
            <w:r w:rsidRPr="00AF3038">
              <w:rPr>
                <w:rFonts w:ascii="Arial" w:hAnsi="Arial" w:cs="Arial"/>
                <w:color w:val="auto"/>
              </w:rPr>
              <w:t xml:space="preserve"> process requirements in the Directions</w:t>
            </w:r>
            <w:r w:rsidR="0068653A" w:rsidRPr="00AF3038">
              <w:rPr>
                <w:rFonts w:ascii="Arial" w:hAnsi="Arial" w:cs="Arial"/>
                <w:color w:val="auto"/>
              </w:rPr>
              <w:t xml:space="preserve"> and Instructions (including mandatory requirements in specified </w:t>
            </w:r>
            <w:r w:rsidR="001264AF">
              <w:rPr>
                <w:rFonts w:ascii="Arial" w:hAnsi="Arial" w:cs="Arial"/>
                <w:color w:val="auto"/>
              </w:rPr>
              <w:t xml:space="preserve">government </w:t>
            </w:r>
            <w:r w:rsidR="0068653A" w:rsidRPr="00AF3038">
              <w:rPr>
                <w:rFonts w:ascii="Arial" w:hAnsi="Arial" w:cs="Arial"/>
                <w:color w:val="auto"/>
              </w:rPr>
              <w:t xml:space="preserve">policies and frameworks to be applied) </w:t>
            </w:r>
            <w:r w:rsidRPr="00AF3038">
              <w:rPr>
                <w:rFonts w:ascii="Arial" w:hAnsi="Arial" w:cs="Arial"/>
                <w:color w:val="auto"/>
              </w:rPr>
              <w:t xml:space="preserve">for controls in those areas that are high risk (e.g. </w:t>
            </w:r>
            <w:r w:rsidR="00556417">
              <w:rPr>
                <w:rFonts w:ascii="Arial" w:hAnsi="Arial" w:cs="Arial"/>
                <w:color w:val="auto"/>
              </w:rPr>
              <w:t>fraud corruption and other losses, managing financial information, a</w:t>
            </w:r>
            <w:r w:rsidR="0068653A" w:rsidRPr="00AF3038">
              <w:rPr>
                <w:rFonts w:ascii="Arial" w:hAnsi="Arial" w:cs="Arial"/>
                <w:color w:val="auto"/>
              </w:rPr>
              <w:t>ssets management accountability</w:t>
            </w:r>
            <w:r w:rsidR="00556417">
              <w:rPr>
                <w:rFonts w:ascii="Arial" w:hAnsi="Arial" w:cs="Arial"/>
                <w:color w:val="auto"/>
              </w:rPr>
              <w:t xml:space="preserve"> and u</w:t>
            </w:r>
            <w:r w:rsidR="0068653A" w:rsidRPr="00AF3038">
              <w:rPr>
                <w:rFonts w:ascii="Arial" w:hAnsi="Arial" w:cs="Arial"/>
                <w:color w:val="auto"/>
              </w:rPr>
              <w:t>sing and managing public resources</w:t>
            </w:r>
            <w:r w:rsidRPr="00AF3038">
              <w:rPr>
                <w:rFonts w:ascii="Arial" w:hAnsi="Arial" w:cs="Arial"/>
                <w:color w:val="auto"/>
              </w:rPr>
              <w:t>)</w:t>
            </w:r>
            <w:r w:rsidR="0068653A" w:rsidRPr="00AF3038">
              <w:rPr>
                <w:rFonts w:ascii="Arial" w:hAnsi="Arial" w:cs="Arial"/>
                <w:color w:val="auto"/>
              </w:rPr>
              <w:t xml:space="preserve">. Other </w:t>
            </w:r>
            <w:r w:rsidRPr="00AF3038">
              <w:rPr>
                <w:rFonts w:ascii="Arial" w:hAnsi="Arial" w:cs="Arial"/>
                <w:color w:val="auto"/>
              </w:rPr>
              <w:t xml:space="preserve">process requirements for the remaining internal controls </w:t>
            </w:r>
            <w:r w:rsidR="0068653A" w:rsidRPr="00AF3038">
              <w:rPr>
                <w:rFonts w:ascii="Arial" w:hAnsi="Arial" w:cs="Arial"/>
                <w:color w:val="auto"/>
              </w:rPr>
              <w:t xml:space="preserve">are </w:t>
            </w:r>
            <w:r w:rsidRPr="00AF3038">
              <w:rPr>
                <w:rFonts w:ascii="Arial" w:hAnsi="Arial" w:cs="Arial"/>
                <w:color w:val="auto"/>
              </w:rPr>
              <w:t>mandated in Instructions.</w:t>
            </w: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3.4.5 </w:t>
            </w:r>
            <w:r w:rsidR="006D2B68" w:rsidRPr="00AF3038">
              <w:rPr>
                <w:rFonts w:ascii="Arial" w:hAnsi="Arial" w:cs="Arial"/>
                <w:b w:val="0"/>
                <w:color w:val="auto"/>
              </w:rPr>
              <w:t>Procurement</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4.2.1 </w:t>
            </w:r>
            <w:r w:rsidRPr="00AF3038">
              <w:rPr>
                <w:rFonts w:ascii="Arial" w:hAnsi="Arial" w:cs="Arial"/>
                <w:caps/>
                <w:color w:val="auto"/>
              </w:rPr>
              <w:t>A</w:t>
            </w:r>
            <w:r w:rsidRPr="00AF3038">
              <w:rPr>
                <w:rFonts w:ascii="Arial" w:hAnsi="Arial" w:cs="Arial"/>
                <w:color w:val="auto"/>
              </w:rPr>
              <w:t>cquisition of assets, goods and services</w:t>
            </w:r>
          </w:p>
          <w:p w:rsidR="00822E7D" w:rsidRPr="00AF3038" w:rsidRDefault="00822E7D"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 4.2.1</w:t>
            </w:r>
          </w:p>
        </w:tc>
        <w:tc>
          <w:tcPr>
            <w:tcW w:w="9105" w:type="dxa"/>
            <w:tcBorders>
              <w:left w:val="none" w:sz="0" w:space="0" w:color="auto"/>
              <w:right w:val="none" w:sz="0" w:space="0" w:color="auto"/>
            </w:tcBorders>
          </w:tcPr>
          <w:p w:rsidR="006D2B68" w:rsidRPr="00AF3038" w:rsidRDefault="006D2B68" w:rsidP="00561ECF">
            <w:pPr>
              <w:numPr>
                <w:ilvl w:val="0"/>
                <w:numId w:val="21"/>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Require</w:t>
            </w:r>
            <w:r w:rsidR="003E52DC" w:rsidRPr="00AF3038">
              <w:rPr>
                <w:rFonts w:ascii="Arial" w:hAnsi="Arial" w:cs="Arial"/>
                <w:color w:val="auto"/>
              </w:rPr>
              <w:t>s</w:t>
            </w:r>
            <w:r w:rsidRPr="00AF3038">
              <w:rPr>
                <w:rFonts w:ascii="Arial" w:hAnsi="Arial" w:cs="Arial"/>
                <w:color w:val="auto"/>
              </w:rPr>
              <w:t xml:space="preserve"> agencies to est</w:t>
            </w:r>
            <w:r w:rsidR="00763D10" w:rsidRPr="00AF3038">
              <w:rPr>
                <w:rFonts w:ascii="Arial" w:hAnsi="Arial" w:cs="Arial"/>
                <w:color w:val="auto"/>
              </w:rPr>
              <w:t xml:space="preserve">ablish and maintain governance </w:t>
            </w:r>
            <w:r w:rsidRPr="00AF3038">
              <w:rPr>
                <w:rFonts w:ascii="Arial" w:hAnsi="Arial" w:cs="Arial"/>
                <w:color w:val="auto"/>
              </w:rPr>
              <w:t>arrangements and processes that will support achieving commercial acquisition principles including value for money, fair competition, market engagement, managing risks.</w:t>
            </w:r>
          </w:p>
          <w:p w:rsidR="006D2B68" w:rsidRPr="00AF3038" w:rsidRDefault="006D2B68" w:rsidP="00561ECF">
            <w:pPr>
              <w:numPr>
                <w:ilvl w:val="0"/>
                <w:numId w:val="21"/>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Shift</w:t>
            </w:r>
            <w:r w:rsidR="003E52DC" w:rsidRPr="00AF3038">
              <w:rPr>
                <w:rFonts w:ascii="Arial" w:hAnsi="Arial" w:cs="Arial"/>
                <w:color w:val="auto"/>
              </w:rPr>
              <w:t>s</w:t>
            </w:r>
            <w:r w:rsidRPr="00AF3038">
              <w:rPr>
                <w:rFonts w:ascii="Arial" w:hAnsi="Arial" w:cs="Arial"/>
                <w:color w:val="auto"/>
              </w:rPr>
              <w:t xml:space="preserve"> focus from solely procurement to the whole acquisition lifecycle of planning, acquiring, managing contract performance and evaluation.</w:t>
            </w:r>
          </w:p>
          <w:p w:rsidR="006D2B68" w:rsidRPr="00AF3038" w:rsidRDefault="006D2B68" w:rsidP="00561ECF">
            <w:pPr>
              <w:numPr>
                <w:ilvl w:val="0"/>
                <w:numId w:val="21"/>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Require</w:t>
            </w:r>
            <w:r w:rsidR="003E52DC" w:rsidRPr="00AF3038">
              <w:rPr>
                <w:rFonts w:ascii="Arial" w:hAnsi="Arial" w:cs="Arial"/>
                <w:color w:val="auto"/>
              </w:rPr>
              <w:t>s</w:t>
            </w:r>
            <w:r w:rsidRPr="00AF3038">
              <w:rPr>
                <w:rFonts w:ascii="Arial" w:hAnsi="Arial" w:cs="Arial"/>
                <w:color w:val="auto"/>
              </w:rPr>
              <w:t xml:space="preserve"> agencies to have appropriate capability through lifecycle.</w:t>
            </w:r>
          </w:p>
          <w:p w:rsidR="006D2B68" w:rsidRPr="00AF3038" w:rsidRDefault="006D2B68" w:rsidP="00561ECF">
            <w:pPr>
              <w:numPr>
                <w:ilvl w:val="0"/>
                <w:numId w:val="22"/>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Include</w:t>
            </w:r>
            <w:r w:rsidR="003E52DC" w:rsidRPr="00AF3038">
              <w:rPr>
                <w:rFonts w:ascii="Arial" w:hAnsi="Arial" w:cs="Arial"/>
                <w:color w:val="auto"/>
              </w:rPr>
              <w:t>s</w:t>
            </w:r>
            <w:r w:rsidRPr="00AF3038">
              <w:rPr>
                <w:rFonts w:ascii="Arial" w:hAnsi="Arial" w:cs="Arial"/>
                <w:color w:val="auto"/>
              </w:rPr>
              <w:t xml:space="preserve"> new contract specification and management requirements in Instructions.</w:t>
            </w:r>
          </w:p>
          <w:p w:rsidR="006D2B68" w:rsidRDefault="006D2B68" w:rsidP="00822E7D">
            <w:pPr>
              <w:autoSpaceDE w:val="0"/>
              <w:autoSpaceDN w:val="0"/>
              <w:adjustRightInd w:val="0"/>
              <w:spacing w:before="0" w:after="0"/>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1B1823" w:rsidRDefault="001B1823" w:rsidP="00822E7D">
            <w:pPr>
              <w:autoSpaceDE w:val="0"/>
              <w:autoSpaceDN w:val="0"/>
              <w:adjustRightInd w:val="0"/>
              <w:spacing w:before="0" w:after="0"/>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126927" w:rsidRDefault="00126927" w:rsidP="00822E7D">
            <w:pPr>
              <w:autoSpaceDE w:val="0"/>
              <w:autoSpaceDN w:val="0"/>
              <w:adjustRightInd w:val="0"/>
              <w:spacing w:before="0" w:after="0"/>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E93340" w:rsidRDefault="00E93340" w:rsidP="00822E7D">
            <w:pPr>
              <w:autoSpaceDE w:val="0"/>
              <w:autoSpaceDN w:val="0"/>
              <w:adjustRightInd w:val="0"/>
              <w:spacing w:before="0" w:after="0"/>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1B1823" w:rsidRPr="00AF3038" w:rsidRDefault="001B1823" w:rsidP="00822E7D">
            <w:pPr>
              <w:autoSpaceDE w:val="0"/>
              <w:autoSpaceDN w:val="0"/>
              <w:adjustRightInd w:val="0"/>
              <w:spacing w:before="0" w:after="0"/>
              <w:ind w:left="36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3.4.9 Physical and i</w:t>
            </w:r>
            <w:r w:rsidR="001264AF">
              <w:rPr>
                <w:rFonts w:ascii="Arial" w:hAnsi="Arial" w:cs="Arial"/>
                <w:b w:val="0"/>
                <w:color w:val="auto"/>
              </w:rPr>
              <w:t>ntangible a</w:t>
            </w:r>
            <w:r w:rsidR="006D2B68" w:rsidRPr="00AF3038">
              <w:rPr>
                <w:rFonts w:ascii="Arial" w:hAnsi="Arial" w:cs="Arial"/>
                <w:b w:val="0"/>
                <w:color w:val="auto"/>
              </w:rPr>
              <w:t>ssets</w:t>
            </w:r>
          </w:p>
        </w:tc>
        <w:tc>
          <w:tcPr>
            <w:tcW w:w="2693" w:type="dxa"/>
          </w:tcPr>
          <w:p w:rsidR="006D2B68" w:rsidRPr="00AF3038" w:rsidRDefault="0068490B"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4.2.3 Asset management accountability</w:t>
            </w:r>
          </w:p>
        </w:tc>
        <w:tc>
          <w:tcPr>
            <w:tcW w:w="9105" w:type="dxa"/>
          </w:tcPr>
          <w:p w:rsidR="00145AD5" w:rsidRDefault="006D2B68" w:rsidP="00FE585D">
            <w:pPr>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Shift</w:t>
            </w:r>
            <w:r w:rsidR="003E52DC" w:rsidRPr="00AF3038">
              <w:rPr>
                <w:rFonts w:ascii="Arial" w:hAnsi="Arial" w:cs="Arial"/>
                <w:color w:val="auto"/>
              </w:rPr>
              <w:t>s</w:t>
            </w:r>
            <w:r w:rsidRPr="00AF3038">
              <w:rPr>
                <w:rFonts w:ascii="Arial" w:hAnsi="Arial" w:cs="Arial"/>
                <w:color w:val="auto"/>
              </w:rPr>
              <w:t xml:space="preserve"> focus from compliance with </w:t>
            </w:r>
            <w:r w:rsidR="001264AF">
              <w:rPr>
                <w:rFonts w:ascii="Arial" w:hAnsi="Arial" w:cs="Arial"/>
                <w:color w:val="auto"/>
              </w:rPr>
              <w:t xml:space="preserve">Australian </w:t>
            </w:r>
            <w:r w:rsidRPr="00AF3038">
              <w:rPr>
                <w:rFonts w:ascii="Arial" w:hAnsi="Arial" w:cs="Arial"/>
                <w:color w:val="auto"/>
              </w:rPr>
              <w:t>Accounting Standards</w:t>
            </w:r>
            <w:r w:rsidR="001264AF">
              <w:rPr>
                <w:rFonts w:ascii="Arial" w:hAnsi="Arial" w:cs="Arial"/>
                <w:color w:val="auto"/>
              </w:rPr>
              <w:t xml:space="preserve"> (AAS)</w:t>
            </w:r>
            <w:r w:rsidRPr="00AF3038">
              <w:rPr>
                <w:rFonts w:ascii="Arial" w:hAnsi="Arial" w:cs="Arial"/>
                <w:color w:val="auto"/>
              </w:rPr>
              <w:t xml:space="preserve"> only to asset management across the life cycle based on Government’s Asset Management and Accountability Framework.</w:t>
            </w:r>
          </w:p>
          <w:p w:rsidR="00126927" w:rsidRPr="00AF3038" w:rsidRDefault="00126927" w:rsidP="0012692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3.4.12 Administration of discretionary financial b</w:t>
            </w:r>
            <w:r w:rsidR="006D2B68" w:rsidRPr="00AF3038">
              <w:rPr>
                <w:rFonts w:ascii="Arial" w:hAnsi="Arial" w:cs="Arial"/>
                <w:b w:val="0"/>
                <w:color w:val="auto"/>
              </w:rPr>
              <w:t>enefits</w:t>
            </w:r>
          </w:p>
        </w:tc>
        <w:tc>
          <w:tcPr>
            <w:tcW w:w="2693" w:type="dxa"/>
            <w:tcBorders>
              <w:left w:val="none" w:sz="0" w:space="0" w:color="auto"/>
              <w:right w:val="none" w:sz="0" w:space="0" w:color="auto"/>
            </w:tcBorders>
          </w:tcPr>
          <w:p w:rsidR="006D2B6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4.2.2 Discretionary financial benefits – grants, sponsorships and donations</w:t>
            </w:r>
          </w:p>
          <w:p w:rsidR="00556417" w:rsidRPr="00AF3038" w:rsidRDefault="00556417"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105" w:type="dxa"/>
            <w:tcBorders>
              <w:left w:val="none" w:sz="0" w:space="0" w:color="auto"/>
              <w:right w:val="none" w:sz="0" w:space="0" w:color="auto"/>
            </w:tcBorders>
          </w:tcPr>
          <w:p w:rsidR="006D2B68" w:rsidRPr="00AF3038" w:rsidRDefault="006D2B68" w:rsidP="00561ECF">
            <w:pPr>
              <w:numPr>
                <w:ilvl w:val="0"/>
                <w:numId w:val="21"/>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Pr="00AF3038">
              <w:rPr>
                <w:rFonts w:ascii="Arial" w:hAnsi="Arial" w:cs="Arial"/>
                <w:color w:val="auto"/>
              </w:rPr>
              <w:t xml:space="preserve"> the requirement for administering discretionary grants and other financial benefits.</w:t>
            </w:r>
          </w:p>
          <w:p w:rsidR="009857DF" w:rsidRPr="00AF3038" w:rsidRDefault="006D2B68" w:rsidP="009857DF">
            <w:pPr>
              <w:numPr>
                <w:ilvl w:val="0"/>
                <w:numId w:val="21"/>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Broaden</w:t>
            </w:r>
            <w:r w:rsidR="003E52DC" w:rsidRPr="00AF3038">
              <w:rPr>
                <w:rFonts w:ascii="Arial" w:hAnsi="Arial" w:cs="Arial"/>
                <w:color w:val="auto"/>
              </w:rPr>
              <w:t>s</w:t>
            </w:r>
            <w:r w:rsidRPr="00AF3038">
              <w:rPr>
                <w:rFonts w:ascii="Arial" w:hAnsi="Arial" w:cs="Arial"/>
                <w:color w:val="auto"/>
              </w:rPr>
              <w:t xml:space="preserve"> and enshrine</w:t>
            </w:r>
            <w:r w:rsidR="00FD19EE" w:rsidRPr="00AF3038">
              <w:rPr>
                <w:rFonts w:ascii="Arial" w:hAnsi="Arial" w:cs="Arial"/>
                <w:color w:val="auto"/>
              </w:rPr>
              <w:t>s</w:t>
            </w:r>
            <w:r w:rsidRPr="00AF3038">
              <w:rPr>
                <w:rFonts w:ascii="Arial" w:hAnsi="Arial" w:cs="Arial"/>
                <w:color w:val="auto"/>
              </w:rPr>
              <w:t xml:space="preserve"> the application of the Government’s discretionary grants investment principles and sponsorship policy to maximise outcomes from these investments.</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3.4.13 Information collection and m</w:t>
            </w:r>
            <w:r w:rsidR="006D2B68" w:rsidRPr="00AF3038">
              <w:rPr>
                <w:rFonts w:ascii="Arial" w:hAnsi="Arial" w:cs="Arial"/>
                <w:b w:val="0"/>
                <w:color w:val="auto"/>
              </w:rPr>
              <w:t>anagement</w:t>
            </w:r>
          </w:p>
        </w:tc>
        <w:tc>
          <w:tcPr>
            <w:tcW w:w="2693" w:type="dxa"/>
          </w:tcPr>
          <w:p w:rsidR="006D2B68" w:rsidRPr="00AF3038" w:rsidDel="0027046D" w:rsidRDefault="0068490B"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3.9</w:t>
            </w:r>
            <w:r w:rsidR="006D2B68" w:rsidRPr="00AF3038">
              <w:rPr>
                <w:rFonts w:ascii="Arial" w:hAnsi="Arial" w:cs="Arial"/>
                <w:color w:val="auto"/>
              </w:rPr>
              <w:t xml:space="preserve"> Managing </w:t>
            </w:r>
            <w:r w:rsidRPr="00AF3038">
              <w:rPr>
                <w:rFonts w:ascii="Arial" w:hAnsi="Arial" w:cs="Arial"/>
                <w:color w:val="auto"/>
              </w:rPr>
              <w:t xml:space="preserve">financial </w:t>
            </w:r>
            <w:r w:rsidR="006D2B68" w:rsidRPr="00AF3038">
              <w:rPr>
                <w:rFonts w:ascii="Arial" w:hAnsi="Arial" w:cs="Arial"/>
                <w:color w:val="auto"/>
              </w:rPr>
              <w:t>information</w:t>
            </w:r>
          </w:p>
        </w:tc>
        <w:tc>
          <w:tcPr>
            <w:tcW w:w="9105" w:type="dxa"/>
          </w:tcPr>
          <w:p w:rsidR="006D2B68" w:rsidRPr="00AF3038" w:rsidRDefault="006D2B68" w:rsidP="00561ECF">
            <w:pPr>
              <w:numPr>
                <w:ilvl w:val="0"/>
                <w:numId w:val="19"/>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Consolidate</w:t>
            </w:r>
            <w:r w:rsidR="003E52DC" w:rsidRPr="00AF3038">
              <w:rPr>
                <w:rFonts w:ascii="Arial" w:hAnsi="Arial" w:cs="Arial"/>
                <w:color w:val="auto"/>
              </w:rPr>
              <w:t>s</w:t>
            </w:r>
            <w:r w:rsidRPr="00AF3038">
              <w:rPr>
                <w:rFonts w:ascii="Arial" w:hAnsi="Arial" w:cs="Arial"/>
                <w:color w:val="auto"/>
              </w:rPr>
              <w:t xml:space="preserve"> </w:t>
            </w:r>
            <w:r w:rsidR="001264AF">
              <w:rPr>
                <w:rFonts w:ascii="Arial" w:hAnsi="Arial" w:cs="Arial"/>
                <w:color w:val="auto"/>
              </w:rPr>
              <w:t>2003</w:t>
            </w:r>
            <w:r w:rsidRPr="00AF3038">
              <w:rPr>
                <w:rFonts w:ascii="Arial" w:hAnsi="Arial" w:cs="Arial"/>
                <w:color w:val="auto"/>
              </w:rPr>
              <w:t xml:space="preserve"> Directions 3.2</w:t>
            </w:r>
            <w:r w:rsidR="00763D10" w:rsidRPr="00AF3038">
              <w:rPr>
                <w:rFonts w:ascii="Arial" w:hAnsi="Arial" w:cs="Arial"/>
                <w:color w:val="auto"/>
              </w:rPr>
              <w:t>.1-5</w:t>
            </w:r>
            <w:r w:rsidRPr="00AF3038">
              <w:rPr>
                <w:rFonts w:ascii="Arial" w:hAnsi="Arial" w:cs="Arial"/>
                <w:color w:val="auto"/>
              </w:rPr>
              <w:t xml:space="preserve"> and 3.4.13, retaining the requirement for </w:t>
            </w:r>
            <w:r w:rsidR="00617AB1" w:rsidRPr="00AF3038">
              <w:rPr>
                <w:rFonts w:ascii="Arial" w:hAnsi="Arial" w:cs="Arial"/>
                <w:color w:val="auto"/>
              </w:rPr>
              <w:t xml:space="preserve">financial </w:t>
            </w:r>
            <w:r w:rsidRPr="00AF3038">
              <w:rPr>
                <w:rFonts w:ascii="Arial" w:hAnsi="Arial" w:cs="Arial"/>
                <w:color w:val="auto"/>
              </w:rPr>
              <w:t xml:space="preserve">information management, </w:t>
            </w:r>
            <w:r w:rsidR="00617AB1" w:rsidRPr="00AF3038">
              <w:rPr>
                <w:rFonts w:ascii="Arial" w:hAnsi="Arial" w:cs="Arial"/>
                <w:color w:val="auto"/>
              </w:rPr>
              <w:t xml:space="preserve">including </w:t>
            </w:r>
            <w:r w:rsidRPr="00AF3038">
              <w:rPr>
                <w:rFonts w:ascii="Arial" w:hAnsi="Arial" w:cs="Arial"/>
                <w:color w:val="auto"/>
              </w:rPr>
              <w:t xml:space="preserve">supporting </w:t>
            </w:r>
            <w:r w:rsidR="00617AB1" w:rsidRPr="00AF3038">
              <w:rPr>
                <w:rFonts w:ascii="Arial" w:hAnsi="Arial" w:cs="Arial"/>
                <w:color w:val="auto"/>
              </w:rPr>
              <w:t>financial systems and operations.</w:t>
            </w:r>
          </w:p>
          <w:p w:rsidR="009857DF" w:rsidRDefault="00617AB1" w:rsidP="009857DF">
            <w:pPr>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Does not contain the level of prescription of the 2003 Directions 3.2 and 3.4.13 or duplicate other requirements outside the FMA, but r</w:t>
            </w:r>
            <w:r w:rsidR="006D2B68" w:rsidRPr="00AF3038">
              <w:rPr>
                <w:rFonts w:ascii="Arial" w:hAnsi="Arial" w:cs="Arial"/>
                <w:color w:val="auto"/>
              </w:rPr>
              <w:t>equire</w:t>
            </w:r>
            <w:r w:rsidR="003E52DC" w:rsidRPr="00AF3038">
              <w:rPr>
                <w:rFonts w:ascii="Arial" w:hAnsi="Arial" w:cs="Arial"/>
                <w:color w:val="auto"/>
              </w:rPr>
              <w:t>s</w:t>
            </w:r>
            <w:r w:rsidR="006D2B68" w:rsidRPr="00AF3038">
              <w:rPr>
                <w:rFonts w:ascii="Arial" w:hAnsi="Arial" w:cs="Arial"/>
                <w:color w:val="auto"/>
              </w:rPr>
              <w:t xml:space="preserve"> that </w:t>
            </w:r>
            <w:r w:rsidR="00763D10" w:rsidRPr="00AF3038">
              <w:rPr>
                <w:rFonts w:ascii="Arial" w:hAnsi="Arial" w:cs="Arial"/>
                <w:color w:val="auto"/>
              </w:rPr>
              <w:t xml:space="preserve">financial </w:t>
            </w:r>
            <w:r w:rsidR="006D2B68" w:rsidRPr="00AF3038">
              <w:rPr>
                <w:rFonts w:ascii="Arial" w:hAnsi="Arial" w:cs="Arial"/>
                <w:color w:val="auto"/>
              </w:rPr>
              <w:t xml:space="preserve">information management for all agencies must align with </w:t>
            </w:r>
            <w:r w:rsidR="00763D10" w:rsidRPr="00AF3038">
              <w:rPr>
                <w:rFonts w:ascii="Arial" w:hAnsi="Arial" w:cs="Arial"/>
                <w:color w:val="auto"/>
              </w:rPr>
              <w:t>relevant</w:t>
            </w:r>
            <w:r w:rsidR="006D2B68" w:rsidRPr="00AF3038">
              <w:rPr>
                <w:rFonts w:ascii="Arial" w:hAnsi="Arial" w:cs="Arial"/>
                <w:color w:val="auto"/>
              </w:rPr>
              <w:t xml:space="preserve"> </w:t>
            </w:r>
            <w:r w:rsidR="00763D10" w:rsidRPr="00AF3038">
              <w:rPr>
                <w:rFonts w:ascii="Arial" w:hAnsi="Arial" w:cs="Arial"/>
                <w:color w:val="auto"/>
              </w:rPr>
              <w:t xml:space="preserve">and applicable legislation, </w:t>
            </w:r>
            <w:r w:rsidR="006D2B68" w:rsidRPr="00AF3038">
              <w:rPr>
                <w:rFonts w:ascii="Arial" w:hAnsi="Arial" w:cs="Arial"/>
                <w:color w:val="auto"/>
              </w:rPr>
              <w:t>pol</w:t>
            </w:r>
            <w:r w:rsidRPr="00AF3038">
              <w:rPr>
                <w:rFonts w:ascii="Arial" w:hAnsi="Arial" w:cs="Arial"/>
                <w:color w:val="auto"/>
              </w:rPr>
              <w:t>icies and standards.</w:t>
            </w:r>
          </w:p>
          <w:p w:rsidR="00556417" w:rsidRDefault="00556417" w:rsidP="009857DF">
            <w:pPr>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New Guidance</w:t>
            </w:r>
            <w:r w:rsidR="00FE585D">
              <w:rPr>
                <w:rFonts w:ascii="Arial" w:hAnsi="Arial" w:cs="Arial"/>
                <w:color w:val="auto"/>
              </w:rPr>
              <w:t xml:space="preserve"> 3.9</w:t>
            </w:r>
            <w:r>
              <w:rPr>
                <w:rFonts w:ascii="Arial" w:hAnsi="Arial" w:cs="Arial"/>
                <w:color w:val="auto"/>
              </w:rPr>
              <w:t xml:space="preserve"> summarises relevant legislation, etc.</w:t>
            </w:r>
          </w:p>
          <w:p w:rsidR="00145AD5" w:rsidRPr="00AF3038" w:rsidRDefault="00145AD5" w:rsidP="00145AD5">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keepNext/>
              <w:rPr>
                <w:rFonts w:ascii="Arial" w:hAnsi="Arial" w:cs="Arial"/>
                <w:b w:val="0"/>
                <w:color w:val="auto"/>
              </w:rPr>
            </w:pPr>
            <w:r w:rsidRPr="00AF3038">
              <w:rPr>
                <w:rFonts w:ascii="Arial" w:hAnsi="Arial" w:cs="Arial"/>
                <w:b w:val="0"/>
                <w:color w:val="auto"/>
              </w:rPr>
              <w:t>4 Financial management r</w:t>
            </w:r>
            <w:r w:rsidR="006D2B68" w:rsidRPr="00AF3038">
              <w:rPr>
                <w:rFonts w:ascii="Arial" w:hAnsi="Arial" w:cs="Arial"/>
                <w:b w:val="0"/>
                <w:color w:val="auto"/>
              </w:rPr>
              <w:t>eporting</w:t>
            </w:r>
          </w:p>
        </w:tc>
        <w:tc>
          <w:tcPr>
            <w:tcW w:w="2693" w:type="dxa"/>
            <w:tcBorders>
              <w:left w:val="none" w:sz="0" w:space="0" w:color="auto"/>
              <w:right w:val="none" w:sz="0" w:space="0" w:color="auto"/>
            </w:tcBorders>
          </w:tcPr>
          <w:p w:rsidR="006D2B68" w:rsidRPr="00AF3038" w:rsidRDefault="006D2B68" w:rsidP="0004529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105" w:type="dxa"/>
            <w:tcBorders>
              <w:left w:val="none" w:sz="0" w:space="0" w:color="auto"/>
              <w:right w:val="none" w:sz="0" w:space="0" w:color="auto"/>
            </w:tcBorders>
          </w:tcPr>
          <w:p w:rsidR="006D2B68" w:rsidRPr="00AF3038" w:rsidRDefault="006D2B68" w:rsidP="0004529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4.1 Internal financial management r</w:t>
            </w:r>
            <w:r w:rsidR="006D2B68" w:rsidRPr="00AF3038">
              <w:rPr>
                <w:rFonts w:ascii="Arial" w:hAnsi="Arial" w:cs="Arial"/>
                <w:b w:val="0"/>
                <w:color w:val="auto"/>
              </w:rPr>
              <w:t xml:space="preserve">eporting </w:t>
            </w:r>
          </w:p>
        </w:tc>
        <w:tc>
          <w:tcPr>
            <w:tcW w:w="2693" w:type="dxa"/>
          </w:tcPr>
          <w:p w:rsidR="00763D10" w:rsidRPr="00AF3038" w:rsidRDefault="00763D10" w:rsidP="00763D1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 xml:space="preserve">2. Roles and responsibilities </w:t>
            </w:r>
          </w:p>
          <w:p w:rsidR="00354DEA" w:rsidRPr="00AF3038" w:rsidRDefault="00354DEA" w:rsidP="00763D1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2.2 Responsible Body</w:t>
            </w:r>
          </w:p>
          <w:p w:rsidR="00354DEA" w:rsidRPr="00AF3038" w:rsidRDefault="00354DEA" w:rsidP="00763D1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2.3 Accountable Officer</w:t>
            </w:r>
          </w:p>
          <w:p w:rsidR="00354DEA"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2.</w:t>
            </w:r>
            <w:r w:rsidR="003E52DC" w:rsidRPr="00AF3038">
              <w:rPr>
                <w:rFonts w:ascii="Arial" w:hAnsi="Arial" w:cs="Arial"/>
                <w:color w:val="auto"/>
              </w:rPr>
              <w:t>4 C</w:t>
            </w:r>
            <w:r w:rsidR="00354DEA" w:rsidRPr="00AF3038">
              <w:rPr>
                <w:rFonts w:ascii="Arial" w:hAnsi="Arial" w:cs="Arial"/>
                <w:color w:val="auto"/>
              </w:rPr>
              <w:t>hief Finance Officer</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4.1 Planning and managing performance</w:t>
            </w:r>
          </w:p>
        </w:tc>
        <w:tc>
          <w:tcPr>
            <w:tcW w:w="9105" w:type="dxa"/>
          </w:tcPr>
          <w:p w:rsidR="006D2B68" w:rsidRPr="00AF3038" w:rsidRDefault="006D2B68" w:rsidP="00561ECF">
            <w:pPr>
              <w:numPr>
                <w:ilvl w:val="0"/>
                <w:numId w:val="1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3E52DC" w:rsidRPr="00AF3038">
              <w:rPr>
                <w:rFonts w:ascii="Arial" w:hAnsi="Arial" w:cs="Arial"/>
                <w:color w:val="auto"/>
              </w:rPr>
              <w:t>s</w:t>
            </w:r>
            <w:r w:rsidRPr="00AF3038">
              <w:rPr>
                <w:rFonts w:ascii="Arial" w:hAnsi="Arial" w:cs="Arial"/>
                <w:color w:val="auto"/>
              </w:rPr>
              <w:t xml:space="preserve"> </w:t>
            </w:r>
            <w:r w:rsidR="001264AF">
              <w:rPr>
                <w:rFonts w:ascii="Arial" w:hAnsi="Arial" w:cs="Arial"/>
                <w:color w:val="auto"/>
              </w:rPr>
              <w:t>2003</w:t>
            </w:r>
            <w:r w:rsidRPr="00AF3038">
              <w:rPr>
                <w:rFonts w:ascii="Arial" w:hAnsi="Arial" w:cs="Arial"/>
                <w:color w:val="auto"/>
              </w:rPr>
              <w:t xml:space="preserve"> Direction, and strengthen</w:t>
            </w:r>
            <w:r w:rsidR="00763D10" w:rsidRPr="00AF3038">
              <w:rPr>
                <w:rFonts w:ascii="Arial" w:hAnsi="Arial" w:cs="Arial"/>
                <w:color w:val="auto"/>
              </w:rPr>
              <w:t>s</w:t>
            </w:r>
            <w:r w:rsidRPr="00AF3038">
              <w:rPr>
                <w:rFonts w:ascii="Arial" w:hAnsi="Arial" w:cs="Arial"/>
                <w:color w:val="auto"/>
              </w:rPr>
              <w:t xml:space="preserve"> principal requirement by bringing together reporting of </w:t>
            </w:r>
            <w:r w:rsidR="004F387D" w:rsidRPr="00AF3038">
              <w:rPr>
                <w:rFonts w:ascii="Arial" w:hAnsi="Arial" w:cs="Arial"/>
                <w:color w:val="auto"/>
              </w:rPr>
              <w:t xml:space="preserve">key financial and </w:t>
            </w:r>
            <w:r w:rsidRPr="00AF3038">
              <w:rPr>
                <w:rFonts w:ascii="Arial" w:hAnsi="Arial" w:cs="Arial"/>
                <w:color w:val="auto"/>
              </w:rPr>
              <w:t>financial</w:t>
            </w:r>
            <w:r w:rsidR="004F387D" w:rsidRPr="00AF3038">
              <w:rPr>
                <w:rFonts w:ascii="Arial" w:hAnsi="Arial" w:cs="Arial"/>
                <w:color w:val="auto"/>
              </w:rPr>
              <w:t xml:space="preserve"> related</w:t>
            </w:r>
            <w:r w:rsidRPr="00AF3038">
              <w:rPr>
                <w:rFonts w:ascii="Arial" w:hAnsi="Arial" w:cs="Arial"/>
                <w:color w:val="auto"/>
              </w:rPr>
              <w:t xml:space="preserve"> </w:t>
            </w:r>
            <w:r w:rsidR="004F387D" w:rsidRPr="00AF3038">
              <w:rPr>
                <w:rFonts w:ascii="Arial" w:hAnsi="Arial" w:cs="Arial"/>
                <w:color w:val="auto"/>
              </w:rPr>
              <w:t xml:space="preserve">targets </w:t>
            </w:r>
            <w:r w:rsidRPr="00AF3038">
              <w:rPr>
                <w:rFonts w:ascii="Arial" w:hAnsi="Arial" w:cs="Arial"/>
                <w:color w:val="auto"/>
              </w:rPr>
              <w:t>and performance indicators. Embed</w:t>
            </w:r>
            <w:r w:rsidR="00763D10" w:rsidRPr="00AF3038">
              <w:rPr>
                <w:rFonts w:ascii="Arial" w:hAnsi="Arial" w:cs="Arial"/>
                <w:color w:val="auto"/>
              </w:rPr>
              <w:t>s</w:t>
            </w:r>
            <w:r w:rsidRPr="00AF3038">
              <w:rPr>
                <w:rFonts w:ascii="Arial" w:hAnsi="Arial" w:cs="Arial"/>
                <w:color w:val="auto"/>
              </w:rPr>
              <w:t xml:space="preserve"> the requirement in the responsibilities of the Responsible Body</w:t>
            </w:r>
            <w:r w:rsidR="00354DEA" w:rsidRPr="00AF3038">
              <w:rPr>
                <w:rFonts w:ascii="Arial" w:hAnsi="Arial" w:cs="Arial"/>
                <w:color w:val="auto"/>
              </w:rPr>
              <w:t xml:space="preserve">, Accountable Officer </w:t>
            </w:r>
            <w:r w:rsidRPr="00AF3038">
              <w:rPr>
                <w:rFonts w:ascii="Arial" w:hAnsi="Arial" w:cs="Arial"/>
                <w:color w:val="auto"/>
              </w:rPr>
              <w:t xml:space="preserve">and </w:t>
            </w:r>
            <w:r w:rsidR="00354DEA" w:rsidRPr="00AF3038">
              <w:rPr>
                <w:rFonts w:ascii="Arial" w:hAnsi="Arial" w:cs="Arial"/>
                <w:color w:val="auto"/>
              </w:rPr>
              <w:t>CFO</w:t>
            </w:r>
            <w:r w:rsidRPr="00AF3038">
              <w:rPr>
                <w:rFonts w:ascii="Arial" w:hAnsi="Arial" w:cs="Arial"/>
                <w:color w:val="auto"/>
              </w:rPr>
              <w:t>.</w:t>
            </w:r>
          </w:p>
          <w:p w:rsidR="006D2B68" w:rsidRPr="00AF3038" w:rsidRDefault="006D2B68" w:rsidP="00561ECF">
            <w:pPr>
              <w:numPr>
                <w:ilvl w:val="0"/>
                <w:numId w:val="1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Introduce</w:t>
            </w:r>
            <w:r w:rsidR="003E52DC" w:rsidRPr="00AF3038">
              <w:rPr>
                <w:rFonts w:ascii="Arial" w:hAnsi="Arial" w:cs="Arial"/>
                <w:color w:val="auto"/>
              </w:rPr>
              <w:t>s</w:t>
            </w:r>
            <w:r w:rsidR="00556417">
              <w:rPr>
                <w:rFonts w:ascii="Arial" w:hAnsi="Arial" w:cs="Arial"/>
                <w:color w:val="auto"/>
              </w:rPr>
              <w:t xml:space="preserve"> a new p</w:t>
            </w:r>
            <w:r w:rsidRPr="00AF3038">
              <w:rPr>
                <w:rFonts w:ascii="Arial" w:hAnsi="Arial" w:cs="Arial"/>
                <w:color w:val="auto"/>
              </w:rPr>
              <w:t>lanning and managing performance Direction</w:t>
            </w:r>
            <w:r w:rsidR="001264AF">
              <w:rPr>
                <w:rFonts w:ascii="Arial" w:hAnsi="Arial" w:cs="Arial"/>
                <w:color w:val="auto"/>
              </w:rPr>
              <w:t xml:space="preserve"> 4.1</w:t>
            </w:r>
            <w:r w:rsidRPr="00AF3038">
              <w:rPr>
                <w:rFonts w:ascii="Arial" w:hAnsi="Arial" w:cs="Arial"/>
                <w:color w:val="auto"/>
              </w:rPr>
              <w:t xml:space="preserve"> with a focus on financial sustainability, </w:t>
            </w:r>
            <w:r w:rsidR="001264AF">
              <w:rPr>
                <w:rFonts w:ascii="Arial" w:hAnsi="Arial" w:cs="Arial"/>
                <w:color w:val="auto"/>
              </w:rPr>
              <w:t>and</w:t>
            </w:r>
            <w:r w:rsidRPr="00AF3038">
              <w:rPr>
                <w:rFonts w:ascii="Arial" w:hAnsi="Arial" w:cs="Arial"/>
                <w:color w:val="auto"/>
              </w:rPr>
              <w:t xml:space="preserve"> resource all</w:t>
            </w:r>
            <w:r w:rsidR="001264AF">
              <w:rPr>
                <w:rFonts w:ascii="Arial" w:hAnsi="Arial" w:cs="Arial"/>
                <w:color w:val="auto"/>
              </w:rPr>
              <w:t xml:space="preserve">ocation guided by planning, </w:t>
            </w:r>
            <w:r w:rsidRPr="00AF3038">
              <w:rPr>
                <w:rFonts w:ascii="Arial" w:hAnsi="Arial" w:cs="Arial"/>
                <w:color w:val="auto"/>
              </w:rPr>
              <w:t>regular monitoring, reporting</w:t>
            </w:r>
            <w:r w:rsidR="009857DF" w:rsidRPr="00AF3038">
              <w:rPr>
                <w:rFonts w:ascii="Arial" w:hAnsi="Arial" w:cs="Arial"/>
                <w:color w:val="auto"/>
              </w:rPr>
              <w:t xml:space="preserve"> and evaluation of performance.</w:t>
            </w:r>
          </w:p>
          <w:p w:rsidR="009857DF" w:rsidRPr="00AF3038" w:rsidRDefault="009857DF" w:rsidP="009857DF">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4.2 </w:t>
            </w:r>
            <w:r w:rsidR="005551C0" w:rsidRPr="00AF3038">
              <w:rPr>
                <w:rFonts w:ascii="Arial" w:hAnsi="Arial" w:cs="Arial"/>
                <w:b w:val="0"/>
                <w:color w:val="auto"/>
              </w:rPr>
              <w:t>Reporting r</w:t>
            </w:r>
            <w:r w:rsidR="006D2B68" w:rsidRPr="00AF3038">
              <w:rPr>
                <w:rFonts w:ascii="Arial" w:hAnsi="Arial" w:cs="Arial"/>
                <w:b w:val="0"/>
                <w:color w:val="auto"/>
              </w:rPr>
              <w:t>equirements in terms of Part 7 of the FMA</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5.2 Annual reporting</w:t>
            </w:r>
            <w:r w:rsidR="0068490B" w:rsidRPr="00AF3038">
              <w:rPr>
                <w:rFonts w:ascii="Arial" w:hAnsi="Arial" w:cs="Arial"/>
                <w:color w:val="auto"/>
              </w:rPr>
              <w:t xml:space="preserve"> </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9105" w:type="dxa"/>
            <w:tcBorders>
              <w:left w:val="none" w:sz="0" w:space="0" w:color="auto"/>
              <w:right w:val="none" w:sz="0" w:space="0" w:color="auto"/>
            </w:tcBorders>
          </w:tcPr>
          <w:p w:rsidR="006D2B68" w:rsidRPr="00AF3038" w:rsidRDefault="006D2B68" w:rsidP="00561ECF">
            <w:pPr>
              <w:numPr>
                <w:ilvl w:val="0"/>
                <w:numId w:val="7"/>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Pr="00AF3038">
              <w:rPr>
                <w:rFonts w:ascii="Arial" w:hAnsi="Arial" w:cs="Arial"/>
                <w:color w:val="auto"/>
              </w:rPr>
              <w:t xml:space="preserve"> </w:t>
            </w:r>
            <w:r w:rsidR="001264AF">
              <w:rPr>
                <w:rFonts w:ascii="Arial" w:hAnsi="Arial" w:cs="Arial"/>
                <w:color w:val="auto"/>
              </w:rPr>
              <w:t xml:space="preserve">and streamlines </w:t>
            </w:r>
            <w:r w:rsidR="00FE585D">
              <w:rPr>
                <w:rFonts w:ascii="Arial" w:hAnsi="Arial" w:cs="Arial"/>
                <w:color w:val="auto"/>
              </w:rPr>
              <w:t xml:space="preserve">the </w:t>
            </w:r>
            <w:r w:rsidR="001264AF">
              <w:rPr>
                <w:rFonts w:ascii="Arial" w:hAnsi="Arial" w:cs="Arial"/>
                <w:color w:val="auto"/>
              </w:rPr>
              <w:t>2003</w:t>
            </w:r>
            <w:r w:rsidRPr="00AF3038">
              <w:rPr>
                <w:rFonts w:ascii="Arial" w:hAnsi="Arial" w:cs="Arial"/>
                <w:color w:val="auto"/>
              </w:rPr>
              <w:t xml:space="preserve"> </w:t>
            </w:r>
            <w:r w:rsidR="00FE585D">
              <w:rPr>
                <w:rFonts w:ascii="Arial" w:hAnsi="Arial" w:cs="Arial"/>
                <w:color w:val="auto"/>
              </w:rPr>
              <w:t xml:space="preserve">Direction on </w:t>
            </w:r>
            <w:r w:rsidRPr="00AF3038">
              <w:rPr>
                <w:rFonts w:ascii="Arial" w:hAnsi="Arial" w:cs="Arial"/>
                <w:color w:val="auto"/>
              </w:rPr>
              <w:t xml:space="preserve">annual reporting to support compliance with FMA </w:t>
            </w:r>
            <w:r w:rsidR="007E42F3">
              <w:rPr>
                <w:rFonts w:ascii="Arial" w:hAnsi="Arial" w:cs="Arial"/>
                <w:color w:val="auto"/>
              </w:rPr>
              <w:t xml:space="preserve"> </w:t>
            </w:r>
            <w:r w:rsidRPr="00AF3038">
              <w:rPr>
                <w:rFonts w:ascii="Arial" w:hAnsi="Arial" w:cs="Arial"/>
                <w:color w:val="auto"/>
              </w:rPr>
              <w:t>Part 7, and streamline</w:t>
            </w:r>
            <w:r w:rsidR="00FD19EE" w:rsidRPr="00AF3038">
              <w:rPr>
                <w:rFonts w:ascii="Arial" w:hAnsi="Arial" w:cs="Arial"/>
                <w:color w:val="auto"/>
              </w:rPr>
              <w:t>s</w:t>
            </w:r>
            <w:r w:rsidRPr="00AF3038">
              <w:rPr>
                <w:rFonts w:ascii="Arial" w:hAnsi="Arial" w:cs="Arial"/>
                <w:color w:val="auto"/>
              </w:rPr>
              <w:t xml:space="preserve"> Direction consistent with Financial Reporting Directions (FRDs) and </w:t>
            </w:r>
            <w:r w:rsidR="001264AF">
              <w:rPr>
                <w:rFonts w:ascii="Arial" w:hAnsi="Arial" w:cs="Arial"/>
                <w:color w:val="auto"/>
              </w:rPr>
              <w:t>AAS</w:t>
            </w:r>
            <w:r w:rsidRPr="00AF3038">
              <w:rPr>
                <w:rFonts w:ascii="Arial" w:hAnsi="Arial" w:cs="Arial"/>
                <w:color w:val="auto"/>
              </w:rPr>
              <w:t>.</w:t>
            </w:r>
          </w:p>
          <w:p w:rsidR="009857DF" w:rsidRDefault="009857DF"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FE585D" w:rsidRDefault="00FE585D"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FE585D" w:rsidRDefault="00FE585D"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1B1823" w:rsidRPr="00AF3038" w:rsidRDefault="001B1823" w:rsidP="009857DF">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 xml:space="preserve">4.3 </w:t>
            </w:r>
            <w:r w:rsidR="005551C0" w:rsidRPr="00AF3038">
              <w:rPr>
                <w:rFonts w:ascii="Arial" w:hAnsi="Arial" w:cs="Arial"/>
                <w:b w:val="0"/>
                <w:color w:val="auto"/>
              </w:rPr>
              <w:t>Other external r</w:t>
            </w:r>
            <w:r w:rsidR="006D2B68" w:rsidRPr="00AF3038">
              <w:rPr>
                <w:rFonts w:ascii="Arial" w:hAnsi="Arial" w:cs="Arial"/>
                <w:b w:val="0"/>
                <w:color w:val="auto"/>
              </w:rPr>
              <w:t>eporting</w:t>
            </w:r>
          </w:p>
        </w:tc>
        <w:tc>
          <w:tcPr>
            <w:tcW w:w="2693" w:type="dxa"/>
          </w:tcPr>
          <w:p w:rsidR="006D2B68" w:rsidRPr="00AF3038" w:rsidRDefault="00822E7D"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2.4</w:t>
            </w:r>
            <w:r w:rsidR="00354DEA" w:rsidRPr="00AF3038">
              <w:rPr>
                <w:rFonts w:ascii="Arial" w:hAnsi="Arial" w:cs="Arial"/>
                <w:color w:val="auto"/>
              </w:rPr>
              <w:t xml:space="preserve"> Chief Finance Officer</w:t>
            </w:r>
          </w:p>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5.3 External reporting and information provision</w:t>
            </w:r>
          </w:p>
        </w:tc>
        <w:tc>
          <w:tcPr>
            <w:tcW w:w="9105" w:type="dxa"/>
          </w:tcPr>
          <w:p w:rsidR="006D2B68" w:rsidRPr="00AF3038" w:rsidRDefault="006D2B68" w:rsidP="00561ECF">
            <w:pPr>
              <w:numPr>
                <w:ilvl w:val="0"/>
                <w:numId w:val="20"/>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Pr="00AF3038">
              <w:rPr>
                <w:rFonts w:ascii="Arial" w:hAnsi="Arial" w:cs="Arial"/>
                <w:color w:val="auto"/>
              </w:rPr>
              <w:t xml:space="preserve"> the requirement that agencies must meet all other external reporting and information provision requirements in a timely and accurate manner. </w:t>
            </w:r>
          </w:p>
          <w:p w:rsidR="006D2B68" w:rsidRPr="00AF3038" w:rsidRDefault="006D2B68" w:rsidP="00561ECF">
            <w:pPr>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Strengthen</w:t>
            </w:r>
            <w:r w:rsidR="00D60AFC" w:rsidRPr="00AF3038">
              <w:rPr>
                <w:rFonts w:ascii="Arial" w:hAnsi="Arial" w:cs="Arial"/>
                <w:color w:val="auto"/>
              </w:rPr>
              <w:t>s</w:t>
            </w:r>
            <w:r w:rsidRPr="00AF3038">
              <w:rPr>
                <w:rFonts w:ascii="Arial" w:hAnsi="Arial" w:cs="Arial"/>
                <w:color w:val="auto"/>
              </w:rPr>
              <w:t xml:space="preserve"> </w:t>
            </w:r>
            <w:r w:rsidR="007E42F3">
              <w:rPr>
                <w:rFonts w:ascii="Arial" w:hAnsi="Arial" w:cs="Arial"/>
                <w:color w:val="auto"/>
              </w:rPr>
              <w:t>2003</w:t>
            </w:r>
            <w:r w:rsidRPr="00AF3038">
              <w:rPr>
                <w:rFonts w:ascii="Arial" w:hAnsi="Arial" w:cs="Arial"/>
                <w:color w:val="auto"/>
              </w:rPr>
              <w:t xml:space="preserve"> Direction to include the ability for </w:t>
            </w:r>
            <w:r w:rsidR="00190AE1">
              <w:rPr>
                <w:rFonts w:ascii="Arial" w:hAnsi="Arial" w:cs="Arial"/>
                <w:color w:val="auto"/>
              </w:rPr>
              <w:t>portfolio department</w:t>
            </w:r>
            <w:r w:rsidRPr="00AF3038">
              <w:rPr>
                <w:rFonts w:ascii="Arial" w:hAnsi="Arial" w:cs="Arial"/>
                <w:color w:val="auto"/>
              </w:rPr>
              <w:t>s and DTF to request information from agencies to support departmental portfolio and whole of government financial management responsibilities.</w:t>
            </w:r>
          </w:p>
          <w:p w:rsidR="006D2B68" w:rsidRPr="00AF3038" w:rsidRDefault="006D2B68" w:rsidP="00561ECF">
            <w:pPr>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Require</w:t>
            </w:r>
            <w:r w:rsidR="00D60AFC" w:rsidRPr="00AF3038">
              <w:rPr>
                <w:rFonts w:ascii="Arial" w:hAnsi="Arial" w:cs="Arial"/>
                <w:color w:val="auto"/>
              </w:rPr>
              <w:t>s</w:t>
            </w:r>
            <w:r w:rsidRPr="00AF3038">
              <w:rPr>
                <w:rFonts w:ascii="Arial" w:hAnsi="Arial" w:cs="Arial"/>
                <w:color w:val="auto"/>
              </w:rPr>
              <w:t xml:space="preserve"> agencies to provide strategic, timely and comprehensive information (both financial and </w:t>
            </w:r>
            <w:r w:rsidR="00354DEA" w:rsidRPr="00AF3038">
              <w:rPr>
                <w:rFonts w:ascii="Arial" w:hAnsi="Arial" w:cs="Arial"/>
                <w:color w:val="auto"/>
              </w:rPr>
              <w:t>financial related</w:t>
            </w:r>
            <w:r w:rsidR="00190AE1">
              <w:rPr>
                <w:rFonts w:ascii="Arial" w:hAnsi="Arial" w:cs="Arial"/>
                <w:color w:val="auto"/>
              </w:rPr>
              <w:t>) to both the relevant portfolio department</w:t>
            </w:r>
            <w:r w:rsidR="004F387D" w:rsidRPr="00AF3038">
              <w:rPr>
                <w:rFonts w:ascii="Arial" w:hAnsi="Arial" w:cs="Arial"/>
                <w:color w:val="auto"/>
              </w:rPr>
              <w:t>s and DTF. Specifies</w:t>
            </w:r>
            <w:r w:rsidRPr="00AF3038">
              <w:rPr>
                <w:rFonts w:ascii="Arial" w:hAnsi="Arial" w:cs="Arial"/>
                <w:color w:val="auto"/>
              </w:rPr>
              <w:t xml:space="preserve"> that this is used to facilitate government decision-making.</w:t>
            </w:r>
          </w:p>
          <w:p w:rsidR="00145AD5" w:rsidRPr="00AF3038" w:rsidRDefault="006D2B68" w:rsidP="00145AD5">
            <w:pPr>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Require</w:t>
            </w:r>
            <w:r w:rsidR="00D60AFC" w:rsidRPr="00AF3038">
              <w:rPr>
                <w:rFonts w:ascii="Arial" w:hAnsi="Arial" w:cs="Arial"/>
                <w:color w:val="auto"/>
              </w:rPr>
              <w:t>s</w:t>
            </w:r>
            <w:r w:rsidRPr="00AF3038">
              <w:rPr>
                <w:rFonts w:ascii="Arial" w:hAnsi="Arial" w:cs="Arial"/>
                <w:color w:val="auto"/>
              </w:rPr>
              <w:t xml:space="preserve"> adherence to</w:t>
            </w:r>
            <w:r w:rsidR="00230795" w:rsidRPr="00AF3038">
              <w:rPr>
                <w:rFonts w:ascii="Arial" w:hAnsi="Arial" w:cs="Arial"/>
                <w:color w:val="auto"/>
              </w:rPr>
              <w:t xml:space="preserve"> external financial reporting activities and timelines requested by DTF, including </w:t>
            </w:r>
            <w:r w:rsidRPr="00AF3038">
              <w:rPr>
                <w:rFonts w:ascii="Arial" w:hAnsi="Arial" w:cs="Arial"/>
                <w:color w:val="auto"/>
              </w:rPr>
              <w:t>the D</w:t>
            </w:r>
            <w:r w:rsidR="00230795" w:rsidRPr="00AF3038">
              <w:rPr>
                <w:rFonts w:ascii="Arial" w:hAnsi="Arial" w:cs="Arial"/>
                <w:color w:val="auto"/>
              </w:rPr>
              <w:t>TF Information Request calendar</w:t>
            </w:r>
            <w:r w:rsidRPr="00AF3038">
              <w:rPr>
                <w:rFonts w:ascii="Arial" w:hAnsi="Arial" w:cs="Arial"/>
                <w:color w:val="auto"/>
              </w:rPr>
              <w:t>.</w:t>
            </w: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4.4 </w:t>
            </w:r>
            <w:r w:rsidR="0068490B" w:rsidRPr="00AF3038">
              <w:rPr>
                <w:rFonts w:ascii="Arial" w:hAnsi="Arial" w:cs="Arial"/>
                <w:b w:val="0"/>
                <w:color w:val="auto"/>
              </w:rPr>
              <w:t>Financial p</w:t>
            </w:r>
            <w:r w:rsidR="006D2B68" w:rsidRPr="00AF3038">
              <w:rPr>
                <w:rFonts w:ascii="Arial" w:hAnsi="Arial" w:cs="Arial"/>
                <w:b w:val="0"/>
                <w:color w:val="auto"/>
              </w:rPr>
              <w:t xml:space="preserve">erformance </w:t>
            </w:r>
            <w:r w:rsidR="0068490B" w:rsidRPr="00AF3038">
              <w:rPr>
                <w:rFonts w:ascii="Arial" w:hAnsi="Arial" w:cs="Arial"/>
                <w:b w:val="0"/>
                <w:color w:val="auto"/>
              </w:rPr>
              <w:t>management and e</w:t>
            </w:r>
            <w:r w:rsidR="006D2B68" w:rsidRPr="00AF3038">
              <w:rPr>
                <w:rFonts w:ascii="Arial" w:hAnsi="Arial" w:cs="Arial"/>
                <w:b w:val="0"/>
                <w:color w:val="auto"/>
              </w:rPr>
              <w:t>valuation</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4.1 Planning and managing performance</w:t>
            </w:r>
          </w:p>
        </w:tc>
        <w:tc>
          <w:tcPr>
            <w:tcW w:w="9105" w:type="dxa"/>
            <w:tcBorders>
              <w:left w:val="none" w:sz="0" w:space="0" w:color="auto"/>
              <w:right w:val="none" w:sz="0" w:space="0" w:color="auto"/>
            </w:tcBorders>
          </w:tcPr>
          <w:p w:rsidR="006D2B68" w:rsidRPr="00AF3038" w:rsidRDefault="006D2B68" w:rsidP="007E42F3">
            <w:pPr>
              <w:numPr>
                <w:ilvl w:val="0"/>
                <w:numId w:val="14"/>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007E42F3">
              <w:rPr>
                <w:rFonts w:ascii="Arial" w:hAnsi="Arial" w:cs="Arial"/>
                <w:color w:val="auto"/>
              </w:rPr>
              <w:t xml:space="preserve"> and broadens</w:t>
            </w:r>
            <w:r w:rsidRPr="00AF3038">
              <w:rPr>
                <w:rFonts w:ascii="Arial" w:hAnsi="Arial" w:cs="Arial"/>
                <w:color w:val="auto"/>
              </w:rPr>
              <w:t xml:space="preserve"> </w:t>
            </w:r>
            <w:r w:rsidR="007E42F3">
              <w:rPr>
                <w:rFonts w:ascii="Arial" w:hAnsi="Arial" w:cs="Arial"/>
                <w:color w:val="auto"/>
              </w:rPr>
              <w:t xml:space="preserve">2003 </w:t>
            </w:r>
            <w:r w:rsidRPr="00AF3038">
              <w:rPr>
                <w:rFonts w:ascii="Arial" w:hAnsi="Arial" w:cs="Arial"/>
                <w:color w:val="auto"/>
              </w:rPr>
              <w:t>Direction and introduce</w:t>
            </w:r>
            <w:r w:rsidR="00FD19EE" w:rsidRPr="00AF3038">
              <w:rPr>
                <w:rFonts w:ascii="Arial" w:hAnsi="Arial" w:cs="Arial"/>
                <w:color w:val="auto"/>
              </w:rPr>
              <w:t>s</w:t>
            </w:r>
            <w:r w:rsidRPr="00AF3038">
              <w:rPr>
                <w:rFonts w:ascii="Arial" w:hAnsi="Arial" w:cs="Arial"/>
                <w:color w:val="auto"/>
              </w:rPr>
              <w:t xml:space="preserve"> requirements for the Accountable Officer to carry out planning and performance management responsibilities, including the need to prepare both financial and financial</w:t>
            </w:r>
            <w:r w:rsidR="00230795" w:rsidRPr="00AF3038">
              <w:rPr>
                <w:rFonts w:ascii="Arial" w:hAnsi="Arial" w:cs="Arial"/>
                <w:color w:val="auto"/>
              </w:rPr>
              <w:t>-</w:t>
            </w:r>
            <w:r w:rsidR="007A6AF8" w:rsidRPr="00AF3038">
              <w:rPr>
                <w:rFonts w:ascii="Arial" w:hAnsi="Arial" w:cs="Arial"/>
                <w:color w:val="auto"/>
              </w:rPr>
              <w:t>related information. Clarifies</w:t>
            </w:r>
            <w:r w:rsidRPr="00AF3038">
              <w:rPr>
                <w:rFonts w:ascii="Arial" w:hAnsi="Arial" w:cs="Arial"/>
                <w:color w:val="auto"/>
              </w:rPr>
              <w:t xml:space="preserve"> that the Responsible Body must oversee planning and performance.</w:t>
            </w: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4.5.1 </w:t>
            </w:r>
            <w:r w:rsidR="006D2B68" w:rsidRPr="00AF3038">
              <w:rPr>
                <w:rFonts w:ascii="Arial" w:hAnsi="Arial" w:cs="Arial"/>
                <w:b w:val="0"/>
                <w:color w:val="auto"/>
              </w:rPr>
              <w:t>Compliance with Directions</w:t>
            </w:r>
          </w:p>
        </w:tc>
        <w:tc>
          <w:tcPr>
            <w:tcW w:w="2693" w:type="dxa"/>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5.1 Financial management compliance</w:t>
            </w:r>
          </w:p>
          <w:p w:rsidR="0050049C" w:rsidRPr="00AF3038" w:rsidRDefault="0050049C"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Instruction 5.1</w:t>
            </w:r>
          </w:p>
        </w:tc>
        <w:tc>
          <w:tcPr>
            <w:tcW w:w="9105" w:type="dxa"/>
          </w:tcPr>
          <w:p w:rsidR="009B144D" w:rsidRPr="00AF3038" w:rsidRDefault="009B144D" w:rsidP="00561ECF">
            <w:pPr>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Strengthens</w:t>
            </w:r>
            <w:r w:rsidR="007E42F3">
              <w:rPr>
                <w:rFonts w:ascii="Arial" w:hAnsi="Arial" w:cs="Arial"/>
                <w:color w:val="auto"/>
              </w:rPr>
              <w:t xml:space="preserve"> 2003</w:t>
            </w:r>
            <w:r w:rsidRPr="00AF3038">
              <w:rPr>
                <w:rFonts w:ascii="Arial" w:hAnsi="Arial" w:cs="Arial"/>
                <w:color w:val="auto"/>
              </w:rPr>
              <w:t xml:space="preserve"> Direction by including requirement to establish an agency level financial management compliance framework to ensure compliance with financial management obligations.</w:t>
            </w:r>
          </w:p>
          <w:p w:rsidR="006D2B68" w:rsidRPr="00AF3038" w:rsidRDefault="006D2B68" w:rsidP="00561ECF">
            <w:pPr>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007E42F3">
              <w:rPr>
                <w:rFonts w:ascii="Arial" w:hAnsi="Arial" w:cs="Arial"/>
                <w:color w:val="auto"/>
              </w:rPr>
              <w:t xml:space="preserve"> 2003</w:t>
            </w:r>
            <w:r w:rsidRPr="00AF3038">
              <w:rPr>
                <w:rFonts w:ascii="Arial" w:hAnsi="Arial" w:cs="Arial"/>
                <w:color w:val="auto"/>
              </w:rPr>
              <w:t xml:space="preserve"> Direction by requiring an annual </w:t>
            </w:r>
            <w:r w:rsidR="007A6AF8" w:rsidRPr="00AF3038">
              <w:rPr>
                <w:rFonts w:ascii="Arial" w:hAnsi="Arial" w:cs="Arial"/>
                <w:color w:val="auto"/>
              </w:rPr>
              <w:t>assessment</w:t>
            </w:r>
            <w:r w:rsidRPr="00AF3038">
              <w:rPr>
                <w:rFonts w:ascii="Arial" w:hAnsi="Arial" w:cs="Arial"/>
                <w:color w:val="auto"/>
              </w:rPr>
              <w:t xml:space="preserve"> of compliance against obligations, with this </w:t>
            </w:r>
            <w:r w:rsidR="007A6AF8" w:rsidRPr="00AF3038">
              <w:rPr>
                <w:rFonts w:ascii="Arial" w:hAnsi="Arial" w:cs="Arial"/>
                <w:color w:val="auto"/>
              </w:rPr>
              <w:t>assessment</w:t>
            </w:r>
            <w:r w:rsidRPr="00AF3038">
              <w:rPr>
                <w:rFonts w:ascii="Arial" w:hAnsi="Arial" w:cs="Arial"/>
                <w:color w:val="auto"/>
              </w:rPr>
              <w:t xml:space="preserve"> independently </w:t>
            </w:r>
            <w:r w:rsidR="007A6AF8" w:rsidRPr="00AF3038">
              <w:rPr>
                <w:rFonts w:ascii="Arial" w:hAnsi="Arial" w:cs="Arial"/>
                <w:color w:val="auto"/>
              </w:rPr>
              <w:t xml:space="preserve">reviewed </w:t>
            </w:r>
            <w:r w:rsidRPr="00AF3038">
              <w:rPr>
                <w:rFonts w:ascii="Arial" w:hAnsi="Arial" w:cs="Arial"/>
                <w:color w:val="auto"/>
              </w:rPr>
              <w:t xml:space="preserve">by </w:t>
            </w:r>
            <w:r w:rsidR="007A6AF8" w:rsidRPr="00AF3038">
              <w:rPr>
                <w:rFonts w:ascii="Arial" w:hAnsi="Arial" w:cs="Arial"/>
                <w:color w:val="auto"/>
              </w:rPr>
              <w:t>the Audit Committee</w:t>
            </w:r>
            <w:r w:rsidRPr="00AF3038">
              <w:rPr>
                <w:rFonts w:ascii="Arial" w:hAnsi="Arial" w:cs="Arial"/>
                <w:color w:val="auto"/>
              </w:rPr>
              <w:t>.</w:t>
            </w:r>
          </w:p>
          <w:p w:rsidR="006D2B68" w:rsidRPr="00AF3038" w:rsidRDefault="006D2B68" w:rsidP="00561ECF">
            <w:pPr>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Strengthen</w:t>
            </w:r>
            <w:r w:rsidR="00D60AFC" w:rsidRPr="00AF3038">
              <w:rPr>
                <w:rFonts w:ascii="Arial" w:hAnsi="Arial" w:cs="Arial"/>
                <w:color w:val="auto"/>
              </w:rPr>
              <w:t>s</w:t>
            </w:r>
            <w:r w:rsidRPr="00AF3038">
              <w:rPr>
                <w:rFonts w:ascii="Arial" w:hAnsi="Arial" w:cs="Arial"/>
                <w:color w:val="auto"/>
              </w:rPr>
              <w:t xml:space="preserve"> accountability for compliance reporting to government and the community through a </w:t>
            </w:r>
            <w:r w:rsidR="007A6AF8" w:rsidRPr="00AF3038">
              <w:rPr>
                <w:rFonts w:ascii="Arial" w:hAnsi="Arial" w:cs="Arial"/>
                <w:color w:val="auto"/>
              </w:rPr>
              <w:t xml:space="preserve">public </w:t>
            </w:r>
            <w:r w:rsidRPr="00AF3038">
              <w:rPr>
                <w:rFonts w:ascii="Arial" w:hAnsi="Arial" w:cs="Arial"/>
                <w:color w:val="auto"/>
              </w:rPr>
              <w:t xml:space="preserve">compliance attestation against all </w:t>
            </w:r>
            <w:r w:rsidR="007A6AF8" w:rsidRPr="00AF3038">
              <w:rPr>
                <w:rFonts w:ascii="Arial" w:hAnsi="Arial" w:cs="Arial"/>
                <w:color w:val="auto"/>
              </w:rPr>
              <w:t xml:space="preserve">applicable requirements in the FMA, </w:t>
            </w:r>
            <w:r w:rsidRPr="00AF3038">
              <w:rPr>
                <w:rFonts w:ascii="Arial" w:hAnsi="Arial" w:cs="Arial"/>
                <w:color w:val="auto"/>
              </w:rPr>
              <w:t xml:space="preserve">Directions </w:t>
            </w:r>
            <w:r w:rsidR="007A6AF8" w:rsidRPr="00AF3038">
              <w:rPr>
                <w:rFonts w:ascii="Arial" w:hAnsi="Arial" w:cs="Arial"/>
                <w:color w:val="auto"/>
              </w:rPr>
              <w:t>and Instructions in the agency’s annual report</w:t>
            </w:r>
            <w:r w:rsidR="009B144D" w:rsidRPr="00AF3038">
              <w:rPr>
                <w:rFonts w:ascii="Arial" w:hAnsi="Arial" w:cs="Arial"/>
                <w:color w:val="auto"/>
              </w:rPr>
              <w:t>,</w:t>
            </w:r>
            <w:r w:rsidR="007A6AF8" w:rsidRPr="00AF3038">
              <w:rPr>
                <w:rFonts w:ascii="Arial" w:hAnsi="Arial" w:cs="Arial"/>
                <w:color w:val="auto"/>
              </w:rPr>
              <w:t xml:space="preserve"> </w:t>
            </w:r>
            <w:r w:rsidR="009B144D" w:rsidRPr="00AF3038">
              <w:rPr>
                <w:rFonts w:ascii="Arial" w:hAnsi="Arial" w:cs="Arial"/>
                <w:color w:val="auto"/>
              </w:rPr>
              <w:t xml:space="preserve">including </w:t>
            </w:r>
            <w:r w:rsidR="007E42F3">
              <w:rPr>
                <w:rFonts w:ascii="Arial" w:hAnsi="Arial" w:cs="Arial"/>
                <w:color w:val="auto"/>
              </w:rPr>
              <w:t>disclosure of m</w:t>
            </w:r>
            <w:r w:rsidR="007A6AF8" w:rsidRPr="00AF3038">
              <w:rPr>
                <w:rFonts w:ascii="Arial" w:hAnsi="Arial" w:cs="Arial"/>
                <w:color w:val="auto"/>
              </w:rPr>
              <w:t xml:space="preserve">aterial </w:t>
            </w:r>
            <w:r w:rsidR="007E42F3">
              <w:rPr>
                <w:rFonts w:ascii="Arial" w:hAnsi="Arial" w:cs="Arial"/>
                <w:color w:val="auto"/>
              </w:rPr>
              <w:t>c</w:t>
            </w:r>
            <w:r w:rsidR="007A6AF8" w:rsidRPr="00AF3038">
              <w:rPr>
                <w:rFonts w:ascii="Arial" w:hAnsi="Arial" w:cs="Arial"/>
                <w:color w:val="auto"/>
              </w:rPr>
              <w:t xml:space="preserve">ompliance </w:t>
            </w:r>
            <w:r w:rsidR="007E42F3">
              <w:rPr>
                <w:rFonts w:ascii="Arial" w:hAnsi="Arial" w:cs="Arial"/>
                <w:color w:val="auto"/>
              </w:rPr>
              <w:t>d</w:t>
            </w:r>
            <w:r w:rsidR="007A6AF8" w:rsidRPr="00AF3038">
              <w:rPr>
                <w:rFonts w:ascii="Arial" w:hAnsi="Arial" w:cs="Arial"/>
                <w:color w:val="auto"/>
              </w:rPr>
              <w:t xml:space="preserve">eficiencies </w:t>
            </w:r>
            <w:r w:rsidRPr="00AF3038">
              <w:rPr>
                <w:rFonts w:ascii="Arial" w:hAnsi="Arial" w:cs="Arial"/>
                <w:color w:val="auto"/>
              </w:rPr>
              <w:t xml:space="preserve">and remedial actions </w:t>
            </w:r>
            <w:r w:rsidR="009B144D" w:rsidRPr="00AF3038">
              <w:rPr>
                <w:rFonts w:ascii="Arial" w:hAnsi="Arial" w:cs="Arial"/>
                <w:color w:val="auto"/>
              </w:rPr>
              <w:t>planned and completed</w:t>
            </w:r>
            <w:r w:rsidR="00FE585D">
              <w:rPr>
                <w:rFonts w:ascii="Arial" w:hAnsi="Arial" w:cs="Arial"/>
                <w:color w:val="auto"/>
              </w:rPr>
              <w:t>. Direction 5.1.4 Attestation subject to a transitional provision.</w:t>
            </w:r>
          </w:p>
          <w:p w:rsidR="006D2B68" w:rsidRPr="00AF3038" w:rsidRDefault="006D2B68" w:rsidP="007E42F3">
            <w:pPr>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Include</w:t>
            </w:r>
            <w:r w:rsidR="00D60AFC" w:rsidRPr="00AF3038">
              <w:rPr>
                <w:rFonts w:ascii="Arial" w:hAnsi="Arial" w:cs="Arial"/>
                <w:color w:val="auto"/>
              </w:rPr>
              <w:t>s</w:t>
            </w:r>
            <w:r w:rsidRPr="00AF3038">
              <w:rPr>
                <w:rFonts w:ascii="Arial" w:hAnsi="Arial" w:cs="Arial"/>
                <w:color w:val="auto"/>
              </w:rPr>
              <w:t xml:space="preserve"> new sections in Direction on dealing with </w:t>
            </w:r>
            <w:r w:rsidR="007E42F3">
              <w:rPr>
                <w:rFonts w:ascii="Arial" w:hAnsi="Arial" w:cs="Arial"/>
                <w:color w:val="auto"/>
              </w:rPr>
              <w:t>compliance d</w:t>
            </w:r>
            <w:r w:rsidR="009B144D" w:rsidRPr="00AF3038">
              <w:rPr>
                <w:rFonts w:ascii="Arial" w:hAnsi="Arial" w:cs="Arial"/>
                <w:color w:val="auto"/>
              </w:rPr>
              <w:t>eficiencies</w:t>
            </w:r>
            <w:r w:rsidRPr="00AF3038">
              <w:rPr>
                <w:rFonts w:ascii="Arial" w:hAnsi="Arial" w:cs="Arial"/>
                <w:color w:val="auto"/>
              </w:rPr>
              <w:t xml:space="preserve"> and reporting </w:t>
            </w:r>
            <w:r w:rsidR="007E42F3">
              <w:rPr>
                <w:rFonts w:ascii="Arial" w:hAnsi="Arial" w:cs="Arial"/>
                <w:color w:val="auto"/>
              </w:rPr>
              <w:t>material c</w:t>
            </w:r>
            <w:r w:rsidRPr="00AF3038">
              <w:rPr>
                <w:rFonts w:ascii="Arial" w:hAnsi="Arial" w:cs="Arial"/>
                <w:color w:val="auto"/>
              </w:rPr>
              <w:t>ompliance</w:t>
            </w:r>
            <w:r w:rsidR="007E42F3">
              <w:rPr>
                <w:rFonts w:ascii="Arial" w:hAnsi="Arial" w:cs="Arial"/>
                <w:color w:val="auto"/>
              </w:rPr>
              <w:t xml:space="preserve"> d</w:t>
            </w:r>
            <w:r w:rsidR="009B144D" w:rsidRPr="00AF3038">
              <w:rPr>
                <w:rFonts w:ascii="Arial" w:hAnsi="Arial" w:cs="Arial"/>
                <w:color w:val="auto"/>
              </w:rPr>
              <w:t xml:space="preserve">eficiencies to the Responsible Minister and </w:t>
            </w:r>
            <w:r w:rsidR="00190AE1">
              <w:rPr>
                <w:rFonts w:ascii="Arial" w:hAnsi="Arial" w:cs="Arial"/>
                <w:color w:val="auto"/>
              </w:rPr>
              <w:t>portfolio department</w:t>
            </w:r>
            <w:r w:rsidRPr="00AF3038">
              <w:rPr>
                <w:rFonts w:ascii="Arial" w:hAnsi="Arial" w:cs="Arial"/>
                <w:color w:val="auto"/>
              </w:rPr>
              <w:t xml:space="preserve">, processes previously covered in </w:t>
            </w:r>
            <w:r w:rsidR="009B144D" w:rsidRPr="00AF3038">
              <w:rPr>
                <w:rFonts w:ascii="Arial" w:hAnsi="Arial" w:cs="Arial"/>
                <w:color w:val="auto"/>
              </w:rPr>
              <w:t xml:space="preserve">the </w:t>
            </w:r>
            <w:r w:rsidRPr="00AF3038">
              <w:rPr>
                <w:rFonts w:ascii="Arial" w:hAnsi="Arial" w:cs="Arial"/>
                <w:color w:val="auto"/>
              </w:rPr>
              <w:t>Financial Management Compliance Framework</w:t>
            </w:r>
            <w:r w:rsidR="009B144D" w:rsidRPr="00AF3038">
              <w:rPr>
                <w:rFonts w:ascii="Arial" w:hAnsi="Arial" w:cs="Arial"/>
                <w:color w:val="auto"/>
              </w:rPr>
              <w:t xml:space="preserve"> (FMCF)</w:t>
            </w:r>
            <w:r w:rsidRPr="00AF3038">
              <w:rPr>
                <w:rFonts w:ascii="Arial" w:hAnsi="Arial" w:cs="Arial"/>
                <w:color w:val="auto"/>
              </w:rPr>
              <w:t>.</w:t>
            </w: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4.5.2 </w:t>
            </w:r>
            <w:r w:rsidR="006D2B68" w:rsidRPr="00AF3038">
              <w:rPr>
                <w:rFonts w:ascii="Arial" w:hAnsi="Arial" w:cs="Arial"/>
                <w:b w:val="0"/>
                <w:color w:val="auto"/>
              </w:rPr>
              <w:t>Taxation</w:t>
            </w:r>
          </w:p>
        </w:tc>
        <w:tc>
          <w:tcPr>
            <w:tcW w:w="2693" w:type="dxa"/>
            <w:tcBorders>
              <w:left w:val="none" w:sz="0" w:space="0" w:color="auto"/>
              <w:right w:val="none" w:sz="0" w:space="0" w:color="auto"/>
            </w:tcBorders>
          </w:tcPr>
          <w:p w:rsidR="00B173BC" w:rsidRPr="00AF3038" w:rsidRDefault="00B173BC"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3.1 Effective financial governance</w:t>
            </w:r>
          </w:p>
          <w:p w:rsidR="006D2B68" w:rsidRPr="00AF3038" w:rsidRDefault="007E42F3"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3.4 Internal control system</w:t>
            </w:r>
          </w:p>
          <w:p w:rsidR="0068490B" w:rsidRPr="00AF3038" w:rsidRDefault="00556417"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Instruction 3.4, clause </w:t>
            </w:r>
            <w:r w:rsidR="0068490B" w:rsidRPr="00AF3038">
              <w:rPr>
                <w:rFonts w:ascii="Arial" w:hAnsi="Arial" w:cs="Arial"/>
                <w:color w:val="auto"/>
              </w:rPr>
              <w:t>9 - Managing taxes</w:t>
            </w:r>
          </w:p>
          <w:p w:rsidR="00763002" w:rsidRPr="00AF3038" w:rsidRDefault="006D2B68" w:rsidP="00763002">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5.1 Financial management compliance </w:t>
            </w:r>
          </w:p>
        </w:tc>
        <w:tc>
          <w:tcPr>
            <w:tcW w:w="9105" w:type="dxa"/>
            <w:tcBorders>
              <w:left w:val="none" w:sz="0" w:space="0" w:color="auto"/>
              <w:right w:val="none" w:sz="0" w:space="0" w:color="auto"/>
            </w:tcBorders>
          </w:tcPr>
          <w:p w:rsidR="006D2B68" w:rsidRPr="00AF3038" w:rsidRDefault="006D2B68" w:rsidP="00561ECF">
            <w:pPr>
              <w:numPr>
                <w:ilvl w:val="0"/>
                <w:numId w:val="16"/>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D60AFC" w:rsidRPr="00AF3038">
              <w:rPr>
                <w:rFonts w:ascii="Arial" w:hAnsi="Arial" w:cs="Arial"/>
                <w:color w:val="auto"/>
              </w:rPr>
              <w:t>s</w:t>
            </w:r>
            <w:r w:rsidRPr="00AF3038">
              <w:rPr>
                <w:rFonts w:ascii="Arial" w:hAnsi="Arial" w:cs="Arial"/>
                <w:color w:val="auto"/>
              </w:rPr>
              <w:t xml:space="preserve"> </w:t>
            </w:r>
            <w:r w:rsidR="007E42F3">
              <w:rPr>
                <w:rFonts w:ascii="Arial" w:hAnsi="Arial" w:cs="Arial"/>
                <w:color w:val="auto"/>
              </w:rPr>
              <w:t>2003</w:t>
            </w:r>
            <w:r w:rsidRPr="00AF3038">
              <w:rPr>
                <w:rFonts w:ascii="Arial" w:hAnsi="Arial" w:cs="Arial"/>
                <w:color w:val="auto"/>
              </w:rPr>
              <w:t xml:space="preserve"> Direction</w:t>
            </w:r>
            <w:r w:rsidR="004F387D" w:rsidRPr="00AF3038">
              <w:rPr>
                <w:rFonts w:ascii="Arial" w:hAnsi="Arial" w:cs="Arial"/>
                <w:color w:val="auto"/>
              </w:rPr>
              <w:t xml:space="preserve"> and Taxation compliance rules</w:t>
            </w:r>
            <w:r w:rsidRPr="00AF3038">
              <w:rPr>
                <w:rFonts w:ascii="Arial" w:hAnsi="Arial" w:cs="Arial"/>
                <w:color w:val="auto"/>
              </w:rPr>
              <w:t xml:space="preserve"> and include</w:t>
            </w:r>
            <w:r w:rsidR="004F387D" w:rsidRPr="00AF3038">
              <w:rPr>
                <w:rFonts w:ascii="Arial" w:hAnsi="Arial" w:cs="Arial"/>
                <w:color w:val="auto"/>
              </w:rPr>
              <w:t>s</w:t>
            </w:r>
            <w:r w:rsidRPr="00AF3038">
              <w:rPr>
                <w:rFonts w:ascii="Arial" w:hAnsi="Arial" w:cs="Arial"/>
                <w:color w:val="auto"/>
              </w:rPr>
              <w:t xml:space="preserve"> compliance with taxation </w:t>
            </w:r>
            <w:r w:rsidR="009B144D" w:rsidRPr="00AF3038">
              <w:rPr>
                <w:rFonts w:ascii="Arial" w:hAnsi="Arial" w:cs="Arial"/>
                <w:color w:val="auto"/>
              </w:rPr>
              <w:t>obligations</w:t>
            </w:r>
            <w:r w:rsidRPr="00AF3038">
              <w:rPr>
                <w:rFonts w:ascii="Arial" w:hAnsi="Arial" w:cs="Arial"/>
                <w:color w:val="auto"/>
              </w:rPr>
              <w:t xml:space="preserve"> through an overarching Compliance Framework that requires compliance wit</w:t>
            </w:r>
            <w:r w:rsidR="007E42F3">
              <w:rPr>
                <w:rFonts w:ascii="Arial" w:hAnsi="Arial" w:cs="Arial"/>
                <w:color w:val="auto"/>
              </w:rPr>
              <w:t>h Commonwealth laws, e</w:t>
            </w:r>
            <w:r w:rsidR="009857DF" w:rsidRPr="00AF3038">
              <w:rPr>
                <w:rFonts w:ascii="Arial" w:hAnsi="Arial" w:cs="Arial"/>
                <w:color w:val="auto"/>
              </w:rPr>
              <w:t>ffe</w:t>
            </w:r>
            <w:r w:rsidR="007E42F3">
              <w:rPr>
                <w:rFonts w:ascii="Arial" w:hAnsi="Arial" w:cs="Arial"/>
                <w:color w:val="auto"/>
              </w:rPr>
              <w:t>ctive financial governance and i</w:t>
            </w:r>
            <w:r w:rsidR="009857DF" w:rsidRPr="00AF3038">
              <w:rPr>
                <w:rFonts w:ascii="Arial" w:hAnsi="Arial" w:cs="Arial"/>
                <w:color w:val="auto"/>
              </w:rPr>
              <w:t>nternal control s</w:t>
            </w:r>
            <w:r w:rsidRPr="00AF3038">
              <w:rPr>
                <w:rFonts w:ascii="Arial" w:hAnsi="Arial" w:cs="Arial"/>
                <w:color w:val="auto"/>
              </w:rPr>
              <w:t xml:space="preserve">ystem Directions. </w:t>
            </w:r>
          </w:p>
          <w:p w:rsidR="006D2B68" w:rsidRPr="00AF3038" w:rsidRDefault="006D2B68" w:rsidP="009857DF">
            <w:pPr>
              <w:numPr>
                <w:ilvl w:val="0"/>
                <w:numId w:val="16"/>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Capture</w:t>
            </w:r>
            <w:r w:rsidR="00D60AFC" w:rsidRPr="00AF3038">
              <w:rPr>
                <w:rFonts w:ascii="Arial" w:hAnsi="Arial" w:cs="Arial"/>
                <w:color w:val="auto"/>
              </w:rPr>
              <w:t>s</w:t>
            </w:r>
            <w:r w:rsidR="007E42F3">
              <w:rPr>
                <w:rFonts w:ascii="Arial" w:hAnsi="Arial" w:cs="Arial"/>
                <w:color w:val="auto"/>
              </w:rPr>
              <w:t xml:space="preserve"> specific</w:t>
            </w:r>
            <w:r w:rsidRPr="00AF3038">
              <w:rPr>
                <w:rFonts w:ascii="Arial" w:hAnsi="Arial" w:cs="Arial"/>
                <w:color w:val="auto"/>
              </w:rPr>
              <w:t xml:space="preserve"> requirements for managing taxation obligations and c</w:t>
            </w:r>
            <w:r w:rsidR="009857DF" w:rsidRPr="00AF3038">
              <w:rPr>
                <w:rFonts w:ascii="Arial" w:hAnsi="Arial" w:cs="Arial"/>
                <w:color w:val="auto"/>
              </w:rPr>
              <w:t>oncessions in Instructions.</w:t>
            </w:r>
          </w:p>
          <w:p w:rsidR="00ED443D" w:rsidRPr="00AF3038" w:rsidRDefault="00ED443D" w:rsidP="00ED443D">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AF3038">
        <w:tc>
          <w:tcPr>
            <w:cnfStyle w:val="001000000000" w:firstRow="0" w:lastRow="0" w:firstColumn="1" w:lastColumn="0" w:oddVBand="0" w:evenVBand="0" w:oddHBand="0" w:evenHBand="0" w:firstRowFirstColumn="0" w:firstRowLastColumn="0" w:lastRowFirstColumn="0" w:lastRowLastColumn="0"/>
            <w:tcW w:w="2552" w:type="dxa"/>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 xml:space="preserve">4.5.3 </w:t>
            </w:r>
            <w:r w:rsidR="0068490B" w:rsidRPr="00AF3038">
              <w:rPr>
                <w:rFonts w:ascii="Arial" w:hAnsi="Arial" w:cs="Arial"/>
                <w:b w:val="0"/>
                <w:color w:val="auto"/>
              </w:rPr>
              <w:t>Purchasing c</w:t>
            </w:r>
            <w:r w:rsidR="006D2B68" w:rsidRPr="00AF3038">
              <w:rPr>
                <w:rFonts w:ascii="Arial" w:hAnsi="Arial" w:cs="Arial"/>
                <w:b w:val="0"/>
                <w:color w:val="auto"/>
              </w:rPr>
              <w:t>ard</w:t>
            </w:r>
          </w:p>
        </w:tc>
        <w:tc>
          <w:tcPr>
            <w:tcW w:w="2693" w:type="dxa"/>
          </w:tcPr>
          <w:p w:rsidR="006D2B68" w:rsidRPr="00AF3038" w:rsidRDefault="006D2B68" w:rsidP="0068490B">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3.6 Pu</w:t>
            </w:r>
            <w:r w:rsidR="0068490B" w:rsidRPr="00AF3038">
              <w:rPr>
                <w:rFonts w:ascii="Arial" w:hAnsi="Arial" w:cs="Arial"/>
                <w:color w:val="auto"/>
              </w:rPr>
              <w:t>rchasing and prepaid debit cards</w:t>
            </w:r>
          </w:p>
          <w:p w:rsidR="00822E7D" w:rsidRPr="00AF3038" w:rsidRDefault="00822E7D" w:rsidP="0068490B">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Instruction 3.6</w:t>
            </w:r>
          </w:p>
        </w:tc>
        <w:tc>
          <w:tcPr>
            <w:tcW w:w="9105" w:type="dxa"/>
          </w:tcPr>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Expand</w:t>
            </w:r>
            <w:r w:rsidR="00D60AFC" w:rsidRPr="00AF3038">
              <w:rPr>
                <w:rFonts w:ascii="Arial" w:hAnsi="Arial" w:cs="Arial"/>
                <w:color w:val="auto"/>
              </w:rPr>
              <w:t>s</w:t>
            </w:r>
            <w:r w:rsidRPr="00AF3038">
              <w:rPr>
                <w:rFonts w:ascii="Arial" w:hAnsi="Arial" w:cs="Arial"/>
                <w:color w:val="auto"/>
              </w:rPr>
              <w:t xml:space="preserve"> requirements to cover use of prepaid debit cards, including those provided to the public.</w:t>
            </w:r>
          </w:p>
          <w:p w:rsidR="006D2B68" w:rsidRPr="00AF3038" w:rsidRDefault="00F24B23"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Removes</w:t>
            </w:r>
            <w:r w:rsidR="006D2B68" w:rsidRPr="00AF3038">
              <w:rPr>
                <w:rFonts w:ascii="Arial" w:hAnsi="Arial" w:cs="Arial"/>
                <w:color w:val="auto"/>
              </w:rPr>
              <w:t xml:space="preserve"> purchasing card rules</w:t>
            </w:r>
            <w:r w:rsidR="00FE585D">
              <w:rPr>
                <w:rFonts w:ascii="Arial" w:hAnsi="Arial" w:cs="Arial"/>
                <w:color w:val="auto"/>
              </w:rPr>
              <w:t>.</w:t>
            </w:r>
            <w:r w:rsidR="004F387D" w:rsidRPr="00AF3038">
              <w:rPr>
                <w:rFonts w:ascii="Arial" w:hAnsi="Arial" w:cs="Arial"/>
                <w:color w:val="auto"/>
              </w:rPr>
              <w:t xml:space="preserve"> </w:t>
            </w:r>
            <w:r w:rsidR="00FE585D">
              <w:rPr>
                <w:rFonts w:ascii="Arial" w:hAnsi="Arial" w:cs="Arial"/>
                <w:color w:val="auto"/>
              </w:rPr>
              <w:t>R</w:t>
            </w:r>
            <w:r>
              <w:rPr>
                <w:rFonts w:ascii="Arial" w:hAnsi="Arial" w:cs="Arial"/>
                <w:color w:val="auto"/>
              </w:rPr>
              <w:t xml:space="preserve">equirements </w:t>
            </w:r>
            <w:r w:rsidR="004F387D" w:rsidRPr="00AF3038">
              <w:rPr>
                <w:rFonts w:ascii="Arial" w:hAnsi="Arial" w:cs="Arial"/>
                <w:color w:val="auto"/>
              </w:rPr>
              <w:t xml:space="preserve">now </w:t>
            </w:r>
            <w:r w:rsidR="006D2B68" w:rsidRPr="00AF3038">
              <w:rPr>
                <w:rFonts w:ascii="Arial" w:hAnsi="Arial" w:cs="Arial"/>
                <w:color w:val="auto"/>
              </w:rPr>
              <w:t>detailed and mandated in Instruction 3.6.</w:t>
            </w:r>
          </w:p>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Strengthen</w:t>
            </w:r>
            <w:r w:rsidR="00D60AFC" w:rsidRPr="00AF3038">
              <w:rPr>
                <w:rFonts w:ascii="Arial" w:hAnsi="Arial" w:cs="Arial"/>
                <w:color w:val="auto"/>
              </w:rPr>
              <w:t>s</w:t>
            </w:r>
            <w:r w:rsidRPr="00AF3038">
              <w:rPr>
                <w:rFonts w:ascii="Arial" w:hAnsi="Arial" w:cs="Arial"/>
                <w:color w:val="auto"/>
              </w:rPr>
              <w:t xml:space="preserve"> reporting, rectification and mitigating future incidents, including reporting to the Resp</w:t>
            </w:r>
            <w:r w:rsidR="007E42F3">
              <w:rPr>
                <w:rFonts w:ascii="Arial" w:hAnsi="Arial" w:cs="Arial"/>
                <w:color w:val="auto"/>
              </w:rPr>
              <w:t xml:space="preserve">onsible Minister and </w:t>
            </w:r>
            <w:r w:rsidR="00190AE1">
              <w:rPr>
                <w:rFonts w:ascii="Arial" w:hAnsi="Arial" w:cs="Arial"/>
                <w:color w:val="auto"/>
              </w:rPr>
              <w:t>portfolio department</w:t>
            </w:r>
            <w:r w:rsidRPr="00AF3038">
              <w:rPr>
                <w:rFonts w:ascii="Arial" w:hAnsi="Arial" w:cs="Arial"/>
                <w:color w:val="auto"/>
              </w:rPr>
              <w:t>.</w:t>
            </w:r>
          </w:p>
          <w:p w:rsidR="006D2B68" w:rsidRDefault="006D2B68" w:rsidP="009857D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Replace</w:t>
            </w:r>
            <w:r w:rsidR="00D60AFC" w:rsidRPr="00AF3038">
              <w:rPr>
                <w:rFonts w:ascii="Arial" w:hAnsi="Arial" w:cs="Arial"/>
                <w:color w:val="auto"/>
              </w:rPr>
              <w:t>s</w:t>
            </w:r>
            <w:r w:rsidRPr="00AF3038">
              <w:rPr>
                <w:rFonts w:ascii="Arial" w:hAnsi="Arial" w:cs="Arial"/>
                <w:color w:val="auto"/>
              </w:rPr>
              <w:t xml:space="preserve"> annual reporting to Minister for Finance on all</w:t>
            </w:r>
            <w:r w:rsidR="001B1823">
              <w:rPr>
                <w:rFonts w:ascii="Arial" w:hAnsi="Arial" w:cs="Arial"/>
                <w:color w:val="auto"/>
              </w:rPr>
              <w:t xml:space="preserve"> card</w:t>
            </w:r>
            <w:r w:rsidRPr="00AF3038">
              <w:rPr>
                <w:rFonts w:ascii="Arial" w:hAnsi="Arial" w:cs="Arial"/>
                <w:color w:val="auto"/>
              </w:rPr>
              <w:t xml:space="preserve"> breaches with reporting of significant and systemic issues </w:t>
            </w:r>
            <w:r w:rsidR="00632616" w:rsidRPr="00AF3038">
              <w:rPr>
                <w:rFonts w:ascii="Arial" w:hAnsi="Arial" w:cs="Arial"/>
                <w:color w:val="auto"/>
              </w:rPr>
              <w:t>to Audit Committee</w:t>
            </w:r>
            <w:r w:rsidR="00A72CDD" w:rsidRPr="00AF3038">
              <w:rPr>
                <w:rFonts w:ascii="Arial" w:hAnsi="Arial" w:cs="Arial"/>
                <w:color w:val="auto"/>
              </w:rPr>
              <w:t>,</w:t>
            </w:r>
            <w:r w:rsidR="00632616" w:rsidRPr="00AF3038">
              <w:rPr>
                <w:rFonts w:ascii="Arial" w:hAnsi="Arial" w:cs="Arial"/>
                <w:color w:val="auto"/>
              </w:rPr>
              <w:t xml:space="preserve"> Responsible Minister</w:t>
            </w:r>
            <w:r w:rsidR="00A72CDD" w:rsidRPr="00AF3038">
              <w:rPr>
                <w:rFonts w:ascii="Arial" w:hAnsi="Arial" w:cs="Arial"/>
                <w:color w:val="auto"/>
              </w:rPr>
              <w:t>,</w:t>
            </w:r>
            <w:r w:rsidR="007E42F3">
              <w:rPr>
                <w:rFonts w:ascii="Arial" w:hAnsi="Arial" w:cs="Arial"/>
                <w:color w:val="auto"/>
              </w:rPr>
              <w:t xml:space="preserve"> </w:t>
            </w:r>
            <w:r w:rsidR="00190AE1">
              <w:rPr>
                <w:rFonts w:ascii="Arial" w:hAnsi="Arial" w:cs="Arial"/>
                <w:color w:val="auto"/>
              </w:rPr>
              <w:t>portfolio department</w:t>
            </w:r>
            <w:r w:rsidR="00632616" w:rsidRPr="00AF3038">
              <w:rPr>
                <w:rFonts w:ascii="Arial" w:hAnsi="Arial" w:cs="Arial"/>
                <w:color w:val="auto"/>
              </w:rPr>
              <w:t xml:space="preserve"> and Auditor-General</w:t>
            </w:r>
            <w:r w:rsidR="00A72CDD" w:rsidRPr="00AF3038">
              <w:rPr>
                <w:rFonts w:ascii="Arial" w:hAnsi="Arial" w:cs="Arial"/>
                <w:color w:val="auto"/>
              </w:rPr>
              <w:t xml:space="preserve"> (see 4.5.4 Thefts and losses below)</w:t>
            </w:r>
          </w:p>
          <w:p w:rsidR="00145AD5" w:rsidRPr="00AF3038" w:rsidRDefault="00145AD5" w:rsidP="00F24B23">
            <w:pPr>
              <w:spacing w:before="0" w:after="0"/>
              <w:ind w:left="7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AF3038" w:rsidRPr="00E24EAA" w:rsidTr="00AF3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left w:val="none" w:sz="0" w:space="0" w:color="auto"/>
              <w:right w:val="none" w:sz="0" w:space="0" w:color="auto"/>
            </w:tcBorders>
          </w:tcPr>
          <w:p w:rsidR="006D2B68" w:rsidRPr="00AF3038" w:rsidRDefault="00D35ADF" w:rsidP="00822E7D">
            <w:pPr>
              <w:rPr>
                <w:rFonts w:ascii="Arial" w:hAnsi="Arial" w:cs="Arial"/>
                <w:b w:val="0"/>
                <w:color w:val="auto"/>
              </w:rPr>
            </w:pPr>
            <w:r w:rsidRPr="00AF3038">
              <w:rPr>
                <w:rFonts w:ascii="Arial" w:hAnsi="Arial" w:cs="Arial"/>
                <w:b w:val="0"/>
                <w:color w:val="auto"/>
              </w:rPr>
              <w:t xml:space="preserve">4.5.4 </w:t>
            </w:r>
            <w:r w:rsidR="0068490B" w:rsidRPr="00AF3038">
              <w:rPr>
                <w:rFonts w:ascii="Arial" w:hAnsi="Arial" w:cs="Arial"/>
                <w:b w:val="0"/>
                <w:color w:val="auto"/>
              </w:rPr>
              <w:t>Thefts and l</w:t>
            </w:r>
            <w:r w:rsidR="006D2B68" w:rsidRPr="00AF3038">
              <w:rPr>
                <w:rFonts w:ascii="Arial" w:hAnsi="Arial" w:cs="Arial"/>
                <w:b w:val="0"/>
                <w:color w:val="auto"/>
              </w:rPr>
              <w:t>osses</w:t>
            </w:r>
          </w:p>
        </w:tc>
        <w:tc>
          <w:tcPr>
            <w:tcW w:w="2693" w:type="dxa"/>
            <w:tcBorders>
              <w:left w:val="none" w:sz="0" w:space="0" w:color="auto"/>
              <w:right w:val="none" w:sz="0" w:space="0" w:color="auto"/>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3.5 </w:t>
            </w:r>
            <w:r w:rsidR="00636E96" w:rsidRPr="00AF3038">
              <w:rPr>
                <w:rFonts w:ascii="Arial" w:hAnsi="Arial" w:cs="Arial"/>
                <w:color w:val="auto"/>
              </w:rPr>
              <w:t>Fraud, C</w:t>
            </w:r>
            <w:r w:rsidRPr="00AF3038">
              <w:rPr>
                <w:rFonts w:ascii="Arial" w:hAnsi="Arial" w:cs="Arial"/>
                <w:color w:val="auto"/>
              </w:rPr>
              <w:t>orruption and other losses</w:t>
            </w:r>
          </w:p>
          <w:p w:rsidR="00822E7D" w:rsidRPr="00AF3038" w:rsidRDefault="00822E7D"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 3.5</w:t>
            </w:r>
          </w:p>
        </w:tc>
        <w:tc>
          <w:tcPr>
            <w:tcW w:w="9105" w:type="dxa"/>
            <w:tcBorders>
              <w:left w:val="none" w:sz="0" w:space="0" w:color="auto"/>
              <w:right w:val="none" w:sz="0" w:space="0" w:color="auto"/>
            </w:tcBorders>
          </w:tcPr>
          <w:p w:rsidR="006D2B68" w:rsidRPr="00AF3038" w:rsidRDefault="006D2B68" w:rsidP="00561EC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Pr="00AF3038">
              <w:rPr>
                <w:rFonts w:ascii="Arial" w:hAnsi="Arial" w:cs="Arial"/>
                <w:color w:val="auto"/>
              </w:rPr>
              <w:t xml:space="preserve"> </w:t>
            </w:r>
            <w:r w:rsidR="00190AE1">
              <w:rPr>
                <w:rFonts w:ascii="Arial" w:hAnsi="Arial" w:cs="Arial"/>
                <w:color w:val="auto"/>
              </w:rPr>
              <w:t>2003</w:t>
            </w:r>
            <w:r w:rsidRPr="00AF3038">
              <w:rPr>
                <w:rFonts w:ascii="Arial" w:hAnsi="Arial" w:cs="Arial"/>
                <w:color w:val="auto"/>
              </w:rPr>
              <w:t xml:space="preserve"> Direction to prevent fraud, thefts and losses.</w:t>
            </w:r>
          </w:p>
          <w:p w:rsidR="006D2B68" w:rsidRPr="00AF3038" w:rsidRDefault="006D2B68" w:rsidP="00561EC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Shift</w:t>
            </w:r>
            <w:r w:rsidR="00D60AFC" w:rsidRPr="00AF3038">
              <w:rPr>
                <w:rFonts w:ascii="Arial" w:hAnsi="Arial" w:cs="Arial"/>
                <w:color w:val="auto"/>
              </w:rPr>
              <w:t>s</w:t>
            </w:r>
            <w:r w:rsidRPr="00AF3038">
              <w:rPr>
                <w:rFonts w:ascii="Arial" w:hAnsi="Arial" w:cs="Arial"/>
                <w:color w:val="auto"/>
              </w:rPr>
              <w:t xml:space="preserve"> the focus from reporting of incidents to the Minister for Finance to requiring:</w:t>
            </w:r>
          </w:p>
          <w:p w:rsidR="006D2B68" w:rsidRPr="00AF3038" w:rsidRDefault="006D2B68" w:rsidP="00561ECF">
            <w:pPr>
              <w:numPr>
                <w:ilvl w:val="1"/>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preventative strategies for dealing with fraud, corruption and other losses; </w:t>
            </w:r>
          </w:p>
          <w:p w:rsidR="006D2B68" w:rsidRPr="00AF3038" w:rsidRDefault="006D2B68" w:rsidP="00561ECF">
            <w:pPr>
              <w:numPr>
                <w:ilvl w:val="1"/>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 xml:space="preserve">internal reporting and monitoring of incidents; and </w:t>
            </w:r>
          </w:p>
          <w:p w:rsidR="006D2B68" w:rsidRPr="00AF3038" w:rsidRDefault="006D2B68" w:rsidP="00561ECF">
            <w:pPr>
              <w:numPr>
                <w:ilvl w:val="1"/>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mitigating future incidents.</w:t>
            </w:r>
          </w:p>
          <w:p w:rsidR="006D2B68" w:rsidRDefault="00A72CDD" w:rsidP="00561EC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Replaces annual reporting to Minister for Finance on all thefts and losses with reporting of significant and systemic issues to Audit Committee, R</w:t>
            </w:r>
            <w:r w:rsidR="007E42F3">
              <w:rPr>
                <w:rFonts w:ascii="Arial" w:hAnsi="Arial" w:cs="Arial"/>
                <w:color w:val="auto"/>
              </w:rPr>
              <w:t xml:space="preserve">esponsible Minister, </w:t>
            </w:r>
            <w:r w:rsidR="00190AE1">
              <w:rPr>
                <w:rFonts w:ascii="Arial" w:hAnsi="Arial" w:cs="Arial"/>
                <w:color w:val="auto"/>
              </w:rPr>
              <w:t>portfolio department</w:t>
            </w:r>
            <w:r w:rsidRPr="00AF3038">
              <w:rPr>
                <w:rFonts w:ascii="Arial" w:hAnsi="Arial" w:cs="Arial"/>
                <w:color w:val="auto"/>
              </w:rPr>
              <w:t xml:space="preserve"> and Auditor-General</w:t>
            </w:r>
            <w:r w:rsidR="006D2B68" w:rsidRPr="00AF3038">
              <w:rPr>
                <w:rFonts w:ascii="Arial" w:hAnsi="Arial" w:cs="Arial"/>
                <w:color w:val="auto"/>
              </w:rPr>
              <w:t>.</w:t>
            </w:r>
          </w:p>
          <w:p w:rsidR="00A72CDD" w:rsidRPr="00AF3038" w:rsidRDefault="006D2B68" w:rsidP="00561EC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Require</w:t>
            </w:r>
            <w:r w:rsidR="00D60AFC" w:rsidRPr="00AF3038">
              <w:rPr>
                <w:rFonts w:ascii="Arial" w:hAnsi="Arial" w:cs="Arial"/>
                <w:color w:val="auto"/>
              </w:rPr>
              <w:t>s</w:t>
            </w:r>
            <w:r w:rsidRPr="00AF3038">
              <w:rPr>
                <w:rFonts w:ascii="Arial" w:hAnsi="Arial" w:cs="Arial"/>
                <w:color w:val="auto"/>
              </w:rPr>
              <w:t xml:space="preserve"> the Responsible Body to establish</w:t>
            </w:r>
            <w:r w:rsidR="00556417">
              <w:rPr>
                <w:rFonts w:ascii="Arial" w:hAnsi="Arial" w:cs="Arial"/>
                <w:color w:val="auto"/>
              </w:rPr>
              <w:t xml:space="preserve"> a fraud and corruption policy and </w:t>
            </w:r>
            <w:r w:rsidR="00E83A99">
              <w:rPr>
                <w:rFonts w:ascii="Arial" w:hAnsi="Arial" w:cs="Arial"/>
                <w:color w:val="auto"/>
              </w:rPr>
              <w:t>a sound control environment.</w:t>
            </w:r>
          </w:p>
          <w:p w:rsidR="006D2B68" w:rsidRPr="00AF3038" w:rsidRDefault="00636E96" w:rsidP="00561EC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w:t>
            </w:r>
            <w:r w:rsidR="00E83A99">
              <w:rPr>
                <w:rFonts w:ascii="Arial" w:hAnsi="Arial" w:cs="Arial"/>
                <w:color w:val="auto"/>
              </w:rPr>
              <w:t xml:space="preserve"> 3.5</w:t>
            </w:r>
            <w:r w:rsidR="006D2B68" w:rsidRPr="00AF3038">
              <w:rPr>
                <w:rFonts w:ascii="Arial" w:hAnsi="Arial" w:cs="Arial"/>
                <w:color w:val="auto"/>
              </w:rPr>
              <w:t>, stipulate</w:t>
            </w:r>
            <w:r w:rsidR="00E83A99">
              <w:rPr>
                <w:rFonts w:ascii="Arial" w:hAnsi="Arial" w:cs="Arial"/>
                <w:color w:val="auto"/>
              </w:rPr>
              <w:t>s what must be included in a F</w:t>
            </w:r>
            <w:r w:rsidR="00A72CDD" w:rsidRPr="00AF3038">
              <w:rPr>
                <w:rFonts w:ascii="Arial" w:hAnsi="Arial" w:cs="Arial"/>
                <w:color w:val="auto"/>
              </w:rPr>
              <w:t>raud and C</w:t>
            </w:r>
            <w:r w:rsidR="006D2B68" w:rsidRPr="00AF3038">
              <w:rPr>
                <w:rFonts w:ascii="Arial" w:hAnsi="Arial" w:cs="Arial"/>
                <w:color w:val="auto"/>
              </w:rPr>
              <w:t>orruption</w:t>
            </w:r>
            <w:r w:rsidR="00A72CDD" w:rsidRPr="00AF3038">
              <w:rPr>
                <w:rFonts w:ascii="Arial" w:hAnsi="Arial" w:cs="Arial"/>
                <w:color w:val="auto"/>
              </w:rPr>
              <w:t xml:space="preserve"> and Other Losses prevention and management</w:t>
            </w:r>
            <w:r w:rsidR="006D2B68" w:rsidRPr="00AF3038">
              <w:rPr>
                <w:rFonts w:ascii="Arial" w:hAnsi="Arial" w:cs="Arial"/>
                <w:color w:val="auto"/>
              </w:rPr>
              <w:t xml:space="preserve"> policy</w:t>
            </w:r>
            <w:r w:rsidR="00E83A99">
              <w:rPr>
                <w:rFonts w:ascii="Arial" w:hAnsi="Arial" w:cs="Arial"/>
                <w:color w:val="auto"/>
              </w:rPr>
              <w:t xml:space="preserve">, such as </w:t>
            </w:r>
            <w:r w:rsidR="00E83A99" w:rsidRPr="00AF3038">
              <w:rPr>
                <w:rFonts w:ascii="Arial" w:hAnsi="Arial" w:cs="Arial"/>
                <w:color w:val="auto"/>
              </w:rPr>
              <w:t>investigation and recovery processes</w:t>
            </w:r>
            <w:r w:rsidR="00E83A99">
              <w:rPr>
                <w:rFonts w:ascii="Arial" w:hAnsi="Arial" w:cs="Arial"/>
                <w:color w:val="auto"/>
              </w:rPr>
              <w:t xml:space="preserve"> </w:t>
            </w:r>
            <w:r w:rsidR="006D2B68" w:rsidRPr="00AF3038">
              <w:rPr>
                <w:rFonts w:ascii="Arial" w:hAnsi="Arial" w:cs="Arial"/>
                <w:color w:val="auto"/>
              </w:rPr>
              <w:t>.</w:t>
            </w:r>
          </w:p>
          <w:p w:rsidR="006D2B68" w:rsidRPr="00AF3038" w:rsidRDefault="00E83A99" w:rsidP="009857DF">
            <w:pPr>
              <w:numPr>
                <w:ilvl w:val="0"/>
                <w:numId w:val="5"/>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The</w:t>
            </w:r>
            <w:r w:rsidR="00636E96" w:rsidRPr="00AF3038">
              <w:rPr>
                <w:rFonts w:ascii="Arial" w:hAnsi="Arial" w:cs="Arial"/>
                <w:color w:val="auto"/>
              </w:rPr>
              <w:t xml:space="preserve"> Instruction also provides Accountable Officers with greater autonomy and accountability to define thresholds for reporting appropriate to the agency’s size and risk profile. However, these must not exceed $5 000 for loss of money and $50 000 for loss of property.</w:t>
            </w:r>
          </w:p>
          <w:p w:rsidR="00ED443D" w:rsidRPr="00AF3038" w:rsidRDefault="00ED443D" w:rsidP="00F24B23">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D2B68" w:rsidRPr="00E24EAA" w:rsidTr="003A4D67">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749CC9" w:themeColor="accent3"/>
            </w:tcBorders>
          </w:tcPr>
          <w:p w:rsidR="006D2B68" w:rsidRPr="00AF3038" w:rsidRDefault="00D35ADF" w:rsidP="0068490B">
            <w:pPr>
              <w:rPr>
                <w:rFonts w:ascii="Arial" w:hAnsi="Arial" w:cs="Arial"/>
                <w:b w:val="0"/>
                <w:color w:val="auto"/>
              </w:rPr>
            </w:pPr>
            <w:r w:rsidRPr="00AF3038">
              <w:rPr>
                <w:rFonts w:ascii="Arial" w:hAnsi="Arial" w:cs="Arial"/>
                <w:b w:val="0"/>
                <w:color w:val="auto"/>
              </w:rPr>
              <w:t xml:space="preserve">4.5.5 </w:t>
            </w:r>
            <w:r w:rsidR="0068490B" w:rsidRPr="00AF3038">
              <w:rPr>
                <w:rFonts w:ascii="Arial" w:hAnsi="Arial" w:cs="Arial"/>
                <w:b w:val="0"/>
                <w:color w:val="auto"/>
              </w:rPr>
              <w:t>Risk m</w:t>
            </w:r>
            <w:r w:rsidR="006D2B68" w:rsidRPr="00AF3038">
              <w:rPr>
                <w:rFonts w:ascii="Arial" w:hAnsi="Arial" w:cs="Arial"/>
                <w:b w:val="0"/>
                <w:color w:val="auto"/>
              </w:rPr>
              <w:t xml:space="preserve">anagement </w:t>
            </w:r>
            <w:r w:rsidR="0068490B" w:rsidRPr="00AF3038">
              <w:rPr>
                <w:rFonts w:ascii="Arial" w:hAnsi="Arial" w:cs="Arial"/>
                <w:b w:val="0"/>
                <w:color w:val="auto"/>
              </w:rPr>
              <w:t>framework and processes</w:t>
            </w:r>
          </w:p>
        </w:tc>
        <w:tc>
          <w:tcPr>
            <w:tcW w:w="2693" w:type="dxa"/>
            <w:tcBorders>
              <w:bottom w:val="single" w:sz="4" w:space="0" w:color="749CC9" w:themeColor="accent3"/>
            </w:tcBorders>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3.7</w:t>
            </w:r>
            <w:r w:rsidR="0068490B" w:rsidRPr="00AF3038">
              <w:rPr>
                <w:rFonts w:ascii="Arial" w:hAnsi="Arial" w:cs="Arial"/>
                <w:color w:val="auto"/>
              </w:rPr>
              <w:t>.1 Risk management f</w:t>
            </w:r>
            <w:r w:rsidRPr="00AF3038">
              <w:rPr>
                <w:rFonts w:ascii="Arial" w:hAnsi="Arial" w:cs="Arial"/>
                <w:color w:val="auto"/>
              </w:rPr>
              <w:t>ramework and processes</w:t>
            </w:r>
          </w:p>
          <w:p w:rsidR="00B714D4" w:rsidRPr="00AF3038" w:rsidRDefault="00B714D4"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Instruction 3.7</w:t>
            </w:r>
          </w:p>
          <w:p w:rsidR="006D2B68" w:rsidRPr="00AF3038" w:rsidRDefault="006D2B68" w:rsidP="00FE585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5.1.</w:t>
            </w:r>
            <w:r w:rsidR="00FE585D">
              <w:rPr>
                <w:rFonts w:ascii="Arial" w:hAnsi="Arial" w:cs="Arial"/>
                <w:color w:val="auto"/>
              </w:rPr>
              <w:t>4</w:t>
            </w:r>
            <w:r w:rsidRPr="00AF3038">
              <w:rPr>
                <w:rFonts w:ascii="Arial" w:hAnsi="Arial" w:cs="Arial"/>
                <w:color w:val="auto"/>
              </w:rPr>
              <w:t xml:space="preserve"> </w:t>
            </w:r>
            <w:r w:rsidR="00FE585D">
              <w:rPr>
                <w:rFonts w:ascii="Arial" w:hAnsi="Arial" w:cs="Arial"/>
                <w:color w:val="auto"/>
              </w:rPr>
              <w:t>Financial management compliance a</w:t>
            </w:r>
            <w:r w:rsidRPr="00AF3038">
              <w:rPr>
                <w:rFonts w:ascii="Arial" w:hAnsi="Arial" w:cs="Arial"/>
                <w:color w:val="auto"/>
              </w:rPr>
              <w:t>ttestation</w:t>
            </w:r>
          </w:p>
        </w:tc>
        <w:tc>
          <w:tcPr>
            <w:tcW w:w="9105" w:type="dxa"/>
            <w:tcBorders>
              <w:bottom w:val="single" w:sz="4" w:space="0" w:color="749CC9" w:themeColor="accent3"/>
            </w:tcBorders>
          </w:tcPr>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Pr="00AF3038">
              <w:rPr>
                <w:rFonts w:ascii="Arial" w:hAnsi="Arial" w:cs="Arial"/>
                <w:color w:val="auto"/>
              </w:rPr>
              <w:t xml:space="preserve"> </w:t>
            </w:r>
            <w:r w:rsidR="00190AE1">
              <w:rPr>
                <w:rFonts w:ascii="Arial" w:hAnsi="Arial" w:cs="Arial"/>
                <w:color w:val="auto"/>
              </w:rPr>
              <w:t>2003</w:t>
            </w:r>
            <w:r w:rsidRPr="00AF3038">
              <w:rPr>
                <w:rFonts w:ascii="Arial" w:hAnsi="Arial" w:cs="Arial"/>
                <w:color w:val="auto"/>
              </w:rPr>
              <w:t xml:space="preserve"> Direction and </w:t>
            </w:r>
            <w:r w:rsidR="00E83A99">
              <w:rPr>
                <w:rFonts w:ascii="Arial" w:hAnsi="Arial" w:cs="Arial"/>
                <w:color w:val="auto"/>
              </w:rPr>
              <w:t xml:space="preserve">requires agencies to apply the </w:t>
            </w:r>
            <w:r w:rsidRPr="00AF3038">
              <w:rPr>
                <w:rFonts w:ascii="Arial" w:hAnsi="Arial" w:cs="Arial"/>
                <w:color w:val="auto"/>
              </w:rPr>
              <w:t>Victorian Government Risk Management Framework (VGRMF).</w:t>
            </w:r>
          </w:p>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Include</w:t>
            </w:r>
            <w:r w:rsidR="00D60AFC" w:rsidRPr="00AF3038">
              <w:rPr>
                <w:rFonts w:ascii="Arial" w:hAnsi="Arial" w:cs="Arial"/>
                <w:color w:val="auto"/>
              </w:rPr>
              <w:t>s</w:t>
            </w:r>
            <w:r w:rsidRPr="00AF3038">
              <w:rPr>
                <w:rFonts w:ascii="Arial" w:hAnsi="Arial" w:cs="Arial"/>
                <w:color w:val="auto"/>
              </w:rPr>
              <w:t xml:space="preserve"> requirements for business continuity planning and Treasurer’s indemnity in </w:t>
            </w:r>
            <w:r w:rsidR="00E83A99">
              <w:rPr>
                <w:rFonts w:ascii="Arial" w:hAnsi="Arial" w:cs="Arial"/>
                <w:color w:val="auto"/>
              </w:rPr>
              <w:t>Instruction 3.7</w:t>
            </w:r>
            <w:r w:rsidRPr="00AF3038">
              <w:rPr>
                <w:rFonts w:ascii="Arial" w:hAnsi="Arial" w:cs="Arial"/>
                <w:color w:val="auto"/>
              </w:rPr>
              <w:t>, as these are not specifically covered by the VGRMF.</w:t>
            </w:r>
          </w:p>
          <w:p w:rsidR="006D2B68" w:rsidRPr="00AF3038" w:rsidRDefault="00636E96" w:rsidP="009857D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By 2017-18</w:t>
            </w:r>
            <w:r w:rsidR="00B714D4" w:rsidRPr="00AF3038">
              <w:rPr>
                <w:rFonts w:ascii="Arial" w:hAnsi="Arial" w:cs="Arial"/>
                <w:color w:val="auto"/>
              </w:rPr>
              <w:t>,</w:t>
            </w:r>
            <w:r w:rsidRPr="00AF3038">
              <w:rPr>
                <w:rFonts w:ascii="Arial" w:hAnsi="Arial" w:cs="Arial"/>
                <w:color w:val="auto"/>
              </w:rPr>
              <w:t xml:space="preserve"> r</w:t>
            </w:r>
            <w:r w:rsidR="006D2B68" w:rsidRPr="00AF3038">
              <w:rPr>
                <w:rFonts w:ascii="Arial" w:hAnsi="Arial" w:cs="Arial"/>
                <w:color w:val="auto"/>
              </w:rPr>
              <w:t>emove</w:t>
            </w:r>
            <w:r w:rsidR="00D60AFC" w:rsidRPr="00AF3038">
              <w:rPr>
                <w:rFonts w:ascii="Arial" w:hAnsi="Arial" w:cs="Arial"/>
                <w:color w:val="auto"/>
              </w:rPr>
              <w:t>s</w:t>
            </w:r>
            <w:r w:rsidR="006D2B68" w:rsidRPr="00AF3038">
              <w:rPr>
                <w:rFonts w:ascii="Arial" w:hAnsi="Arial" w:cs="Arial"/>
                <w:color w:val="auto"/>
              </w:rPr>
              <w:t xml:space="preserve"> duplication of</w:t>
            </w:r>
            <w:r w:rsidR="00402239" w:rsidRPr="00AF3038">
              <w:rPr>
                <w:rFonts w:ascii="Arial" w:hAnsi="Arial" w:cs="Arial"/>
                <w:color w:val="auto"/>
              </w:rPr>
              <w:t xml:space="preserve"> individual risk</w:t>
            </w:r>
            <w:r w:rsidR="006D2B68" w:rsidRPr="00AF3038">
              <w:rPr>
                <w:rFonts w:ascii="Arial" w:hAnsi="Arial" w:cs="Arial"/>
                <w:color w:val="auto"/>
              </w:rPr>
              <w:t xml:space="preserve"> compliance and public attestation procedures with the </w:t>
            </w:r>
            <w:r w:rsidRPr="00AF3038">
              <w:rPr>
                <w:rFonts w:ascii="Arial" w:hAnsi="Arial" w:cs="Arial"/>
                <w:color w:val="auto"/>
              </w:rPr>
              <w:t xml:space="preserve">one </w:t>
            </w:r>
            <w:r w:rsidR="006D2B68" w:rsidRPr="00AF3038">
              <w:rPr>
                <w:rFonts w:ascii="Arial" w:hAnsi="Arial" w:cs="Arial"/>
                <w:color w:val="auto"/>
              </w:rPr>
              <w:t>overarching compliance attestation.</w:t>
            </w:r>
          </w:p>
          <w:p w:rsidR="00ED443D" w:rsidRDefault="00ED443D"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7E42F3" w:rsidRDefault="007E42F3"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7E42F3" w:rsidRDefault="007E42F3"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7E42F3" w:rsidRDefault="007E42F3"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FE585D" w:rsidRDefault="00FE585D"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FE585D" w:rsidRDefault="00FE585D"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7E42F3" w:rsidRPr="00AF3038" w:rsidRDefault="007E42F3" w:rsidP="001B047C">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D2B68" w:rsidRPr="00E24EAA" w:rsidTr="003A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D35ADF" w:rsidP="00822E7D">
            <w:pPr>
              <w:rPr>
                <w:rFonts w:ascii="Arial" w:hAnsi="Arial" w:cs="Arial"/>
                <w:b w:val="0"/>
                <w:color w:val="auto"/>
              </w:rPr>
            </w:pPr>
            <w:r w:rsidRPr="00AF3038">
              <w:rPr>
                <w:rFonts w:ascii="Arial" w:hAnsi="Arial" w:cs="Arial"/>
                <w:b w:val="0"/>
                <w:color w:val="auto"/>
              </w:rPr>
              <w:lastRenderedPageBreak/>
              <w:t>4.5.6 Treasury risk m</w:t>
            </w:r>
            <w:r w:rsidR="006D2B68" w:rsidRPr="00AF3038">
              <w:rPr>
                <w:rFonts w:ascii="Arial" w:hAnsi="Arial" w:cs="Arial"/>
                <w:b w:val="0"/>
                <w:color w:val="auto"/>
              </w:rPr>
              <w:t>anagement</w:t>
            </w:r>
          </w:p>
        </w:tc>
        <w:tc>
          <w:tcPr>
            <w:tcW w:w="2693"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3.7.2.</w:t>
            </w:r>
            <w:r w:rsidR="005551C0" w:rsidRPr="00AF3038">
              <w:rPr>
                <w:rFonts w:ascii="Arial" w:hAnsi="Arial" w:cs="Arial"/>
                <w:color w:val="auto"/>
              </w:rPr>
              <w:t>2</w:t>
            </w:r>
            <w:r w:rsidRPr="00AF3038">
              <w:rPr>
                <w:rFonts w:ascii="Arial" w:hAnsi="Arial" w:cs="Arial"/>
                <w:color w:val="auto"/>
              </w:rPr>
              <w:t xml:space="preserve"> Treasury and investment risk management </w:t>
            </w:r>
            <w:r w:rsidR="005551C0" w:rsidRPr="00AF3038">
              <w:rPr>
                <w:rFonts w:ascii="Arial" w:hAnsi="Arial" w:cs="Arial"/>
                <w:color w:val="auto"/>
              </w:rPr>
              <w:t>– P</w:t>
            </w:r>
            <w:r w:rsidRPr="00AF3038">
              <w:rPr>
                <w:rFonts w:ascii="Arial" w:hAnsi="Arial" w:cs="Arial"/>
                <w:color w:val="auto"/>
              </w:rPr>
              <w:t>olicies</w:t>
            </w:r>
            <w:r w:rsidR="005551C0" w:rsidRPr="00AF3038">
              <w:rPr>
                <w:rFonts w:ascii="Arial" w:hAnsi="Arial" w:cs="Arial"/>
                <w:color w:val="auto"/>
              </w:rPr>
              <w:t xml:space="preserve"> and procedures</w:t>
            </w:r>
          </w:p>
          <w:p w:rsidR="005551C0" w:rsidRPr="00AF3038" w:rsidRDefault="005551C0"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 3.7.2.2</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3.7.2.</w:t>
            </w:r>
            <w:r w:rsidR="005551C0" w:rsidRPr="00AF3038">
              <w:rPr>
                <w:rFonts w:ascii="Arial" w:hAnsi="Arial" w:cs="Arial"/>
                <w:color w:val="auto"/>
              </w:rPr>
              <w:t>3</w:t>
            </w:r>
            <w:r w:rsidRPr="00AF3038">
              <w:rPr>
                <w:rFonts w:ascii="Arial" w:hAnsi="Arial" w:cs="Arial"/>
                <w:color w:val="auto"/>
              </w:rPr>
              <w:t xml:space="preserve"> Treasury and investment risk management – Borrowing, investments and financial arrangements</w:t>
            </w:r>
          </w:p>
          <w:p w:rsidR="005551C0" w:rsidRPr="00AF3038" w:rsidRDefault="005551C0"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Instruction 3.7.2.3</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5.1 Financial management compliance</w:t>
            </w:r>
          </w:p>
        </w:tc>
        <w:tc>
          <w:tcPr>
            <w:tcW w:w="9105"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Pr="00AF3038">
              <w:rPr>
                <w:rFonts w:ascii="Arial" w:hAnsi="Arial" w:cs="Arial"/>
                <w:color w:val="auto"/>
              </w:rPr>
              <w:t xml:space="preserve"> </w:t>
            </w:r>
            <w:r w:rsidR="00190AE1">
              <w:rPr>
                <w:rFonts w:ascii="Arial" w:hAnsi="Arial" w:cs="Arial"/>
                <w:color w:val="auto"/>
              </w:rPr>
              <w:t>2003</w:t>
            </w:r>
            <w:r w:rsidRPr="00AF3038">
              <w:rPr>
                <w:rFonts w:ascii="Arial" w:hAnsi="Arial" w:cs="Arial"/>
                <w:color w:val="auto"/>
              </w:rPr>
              <w:t xml:space="preserve"> Direction requirements for borrowing, investments and financial arrangements (</w:t>
            </w:r>
            <w:r w:rsidR="00E83A99">
              <w:rPr>
                <w:rFonts w:ascii="Arial" w:hAnsi="Arial" w:cs="Arial"/>
                <w:color w:val="auto"/>
              </w:rPr>
              <w:t xml:space="preserve">Direction </w:t>
            </w:r>
            <w:r w:rsidRPr="00AF3038">
              <w:rPr>
                <w:rFonts w:ascii="Arial" w:hAnsi="Arial" w:cs="Arial"/>
                <w:color w:val="auto"/>
              </w:rPr>
              <w:t>3.7.2.2).</w:t>
            </w:r>
          </w:p>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Introduce</w:t>
            </w:r>
            <w:r w:rsidR="00D60AFC" w:rsidRPr="00AF3038">
              <w:rPr>
                <w:rFonts w:ascii="Arial" w:hAnsi="Arial" w:cs="Arial"/>
                <w:color w:val="auto"/>
              </w:rPr>
              <w:t>s</w:t>
            </w:r>
            <w:r w:rsidR="00402239" w:rsidRPr="00AF3038">
              <w:rPr>
                <w:rFonts w:ascii="Arial" w:hAnsi="Arial" w:cs="Arial"/>
                <w:color w:val="auto"/>
              </w:rPr>
              <w:t xml:space="preserve"> requirement to establish T</w:t>
            </w:r>
            <w:r w:rsidRPr="00AF3038">
              <w:rPr>
                <w:rFonts w:ascii="Arial" w:hAnsi="Arial" w:cs="Arial"/>
                <w:color w:val="auto"/>
              </w:rPr>
              <w:t xml:space="preserve">reasury and investment policies for </w:t>
            </w:r>
            <w:r w:rsidRPr="00AF3038">
              <w:rPr>
                <w:rFonts w:ascii="Arial" w:hAnsi="Arial" w:cs="Arial"/>
                <w:color w:val="auto"/>
                <w:u w:val="single"/>
              </w:rPr>
              <w:t xml:space="preserve">all </w:t>
            </w:r>
            <w:r w:rsidR="00B714D4" w:rsidRPr="00AF3038">
              <w:rPr>
                <w:rFonts w:ascii="Arial" w:hAnsi="Arial" w:cs="Arial"/>
                <w:color w:val="auto"/>
                <w:u w:val="single"/>
              </w:rPr>
              <w:t xml:space="preserve">relevant </w:t>
            </w:r>
            <w:r w:rsidRPr="00AF3038">
              <w:rPr>
                <w:rFonts w:ascii="Arial" w:hAnsi="Arial" w:cs="Arial"/>
                <w:color w:val="auto"/>
                <w:u w:val="single"/>
              </w:rPr>
              <w:t>agencies</w:t>
            </w:r>
            <w:r w:rsidRPr="00AF3038">
              <w:rPr>
                <w:rFonts w:ascii="Arial" w:hAnsi="Arial" w:cs="Arial"/>
                <w:color w:val="auto"/>
              </w:rPr>
              <w:t xml:space="preserve"> (</w:t>
            </w:r>
            <w:r w:rsidR="00E83A99">
              <w:rPr>
                <w:rFonts w:ascii="Arial" w:hAnsi="Arial" w:cs="Arial"/>
                <w:color w:val="auto"/>
              </w:rPr>
              <w:t xml:space="preserve">Direction </w:t>
            </w:r>
            <w:r w:rsidRPr="00AF3038">
              <w:rPr>
                <w:rFonts w:ascii="Arial" w:hAnsi="Arial" w:cs="Arial"/>
                <w:color w:val="auto"/>
              </w:rPr>
              <w:t>3.7.2.1) with borrowing and/or investment powers. Existing process requires only agencies investing with VFMC to develop an investment statement.</w:t>
            </w:r>
          </w:p>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Broaden</w:t>
            </w:r>
            <w:r w:rsidR="00D60AFC" w:rsidRPr="00AF3038">
              <w:rPr>
                <w:rFonts w:ascii="Arial" w:hAnsi="Arial" w:cs="Arial"/>
                <w:color w:val="auto"/>
              </w:rPr>
              <w:t>s</w:t>
            </w:r>
            <w:r w:rsidRPr="00AF3038">
              <w:rPr>
                <w:rFonts w:ascii="Arial" w:hAnsi="Arial" w:cs="Arial"/>
                <w:color w:val="auto"/>
              </w:rPr>
              <w:t xml:space="preserve"> the scope of policy requirements to cover interest rate risk, liquidity risk and credit risk, in addition to foreign exchange, and commodity risk. </w:t>
            </w:r>
          </w:p>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D60AFC" w:rsidRPr="00AF3038">
              <w:rPr>
                <w:rFonts w:ascii="Arial" w:hAnsi="Arial" w:cs="Arial"/>
                <w:color w:val="auto"/>
              </w:rPr>
              <w:t>s</w:t>
            </w:r>
            <w:r w:rsidRPr="00AF3038">
              <w:rPr>
                <w:rFonts w:ascii="Arial" w:hAnsi="Arial" w:cs="Arial"/>
                <w:color w:val="auto"/>
              </w:rPr>
              <w:t xml:space="preserve"> duplication of compliance requirements </w:t>
            </w:r>
            <w:r w:rsidR="00E83A99">
              <w:rPr>
                <w:rFonts w:ascii="Arial" w:hAnsi="Arial" w:cs="Arial"/>
                <w:color w:val="auto"/>
              </w:rPr>
              <w:t>with the overarching f</w:t>
            </w:r>
            <w:r w:rsidR="009857DF" w:rsidRPr="00AF3038">
              <w:rPr>
                <w:rFonts w:ascii="Arial" w:hAnsi="Arial" w:cs="Arial"/>
                <w:color w:val="auto"/>
              </w:rPr>
              <w:t>inancial management c</w:t>
            </w:r>
            <w:r w:rsidRPr="00AF3038">
              <w:rPr>
                <w:rFonts w:ascii="Arial" w:hAnsi="Arial" w:cs="Arial"/>
                <w:color w:val="auto"/>
              </w:rPr>
              <w:t>ompliance Direction</w:t>
            </w:r>
            <w:r w:rsidR="00E83A99">
              <w:rPr>
                <w:rFonts w:ascii="Arial" w:hAnsi="Arial" w:cs="Arial"/>
                <w:color w:val="auto"/>
              </w:rPr>
              <w:t xml:space="preserve"> 5.1</w:t>
            </w:r>
            <w:r w:rsidRPr="00AF3038">
              <w:rPr>
                <w:rFonts w:ascii="Arial" w:hAnsi="Arial" w:cs="Arial"/>
                <w:color w:val="auto"/>
              </w:rPr>
              <w:t>.</w:t>
            </w:r>
          </w:p>
          <w:p w:rsidR="00B714D4" w:rsidRPr="00AF3038" w:rsidRDefault="00B714D4" w:rsidP="00B714D4">
            <w:pPr>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AF3038" w:rsidRPr="00E24EAA" w:rsidTr="003A4D67">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D35ADF" w:rsidP="00822E7D">
            <w:pPr>
              <w:keepNext/>
              <w:rPr>
                <w:rFonts w:ascii="Arial" w:hAnsi="Arial" w:cs="Arial"/>
                <w:b w:val="0"/>
                <w:color w:val="auto"/>
              </w:rPr>
            </w:pPr>
            <w:r w:rsidRPr="00AF3038">
              <w:rPr>
                <w:rFonts w:ascii="Arial" w:hAnsi="Arial" w:cs="Arial"/>
                <w:b w:val="0"/>
                <w:color w:val="auto"/>
              </w:rPr>
              <w:t>4.5.7 Foreign exchange risk m</w:t>
            </w:r>
            <w:r w:rsidR="006D2B68" w:rsidRPr="00AF3038">
              <w:rPr>
                <w:rFonts w:ascii="Arial" w:hAnsi="Arial" w:cs="Arial"/>
                <w:b w:val="0"/>
                <w:color w:val="auto"/>
              </w:rPr>
              <w:t>anagement</w:t>
            </w:r>
          </w:p>
        </w:tc>
        <w:tc>
          <w:tcPr>
            <w:tcW w:w="2693"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822E7D">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3.7.2.</w:t>
            </w:r>
            <w:r w:rsidR="00822E7D" w:rsidRPr="00AF3038">
              <w:rPr>
                <w:rFonts w:ascii="Arial" w:hAnsi="Arial" w:cs="Arial"/>
                <w:color w:val="auto"/>
              </w:rPr>
              <w:t xml:space="preserve">4 </w:t>
            </w:r>
            <w:r w:rsidRPr="00AF3038">
              <w:rPr>
                <w:rFonts w:ascii="Arial" w:hAnsi="Arial" w:cs="Arial"/>
                <w:color w:val="auto"/>
              </w:rPr>
              <w:t>Treasury and investment risk management – Financial arrangements –foreign exchange risk</w:t>
            </w:r>
          </w:p>
          <w:p w:rsidR="006D2B68" w:rsidRPr="00AF3038" w:rsidRDefault="006D2B68" w:rsidP="009857D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5.1 Financial management compliance</w:t>
            </w:r>
          </w:p>
        </w:tc>
        <w:tc>
          <w:tcPr>
            <w:tcW w:w="9105"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Retain</w:t>
            </w:r>
            <w:r w:rsidR="00D60AFC" w:rsidRPr="00AF3038">
              <w:rPr>
                <w:rFonts w:ascii="Arial" w:hAnsi="Arial" w:cs="Arial"/>
                <w:color w:val="auto"/>
              </w:rPr>
              <w:t>s</w:t>
            </w:r>
            <w:r w:rsidR="00190AE1">
              <w:rPr>
                <w:rFonts w:ascii="Arial" w:hAnsi="Arial" w:cs="Arial"/>
                <w:color w:val="auto"/>
              </w:rPr>
              <w:t xml:space="preserve"> 2003</w:t>
            </w:r>
            <w:r w:rsidRPr="00AF3038">
              <w:rPr>
                <w:rFonts w:ascii="Arial" w:hAnsi="Arial" w:cs="Arial"/>
                <w:color w:val="auto"/>
              </w:rPr>
              <w:t xml:space="preserve"> Direction mandating specific government hedging requirements. </w:t>
            </w:r>
          </w:p>
          <w:p w:rsidR="006D2B68" w:rsidRPr="00AF3038" w:rsidRDefault="006D2B68" w:rsidP="00561ECF">
            <w:pPr>
              <w:numPr>
                <w:ilvl w:val="0"/>
                <w:numId w:val="6"/>
              </w:numPr>
              <w:tabs>
                <w:tab w:val="num" w:pos="439"/>
              </w:tabs>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D60AFC" w:rsidRPr="00AF3038">
              <w:rPr>
                <w:rFonts w:ascii="Arial" w:hAnsi="Arial" w:cs="Arial"/>
                <w:color w:val="auto"/>
              </w:rPr>
              <w:t>s</w:t>
            </w:r>
            <w:r w:rsidRPr="00AF3038">
              <w:rPr>
                <w:rFonts w:ascii="Arial" w:hAnsi="Arial" w:cs="Arial"/>
                <w:color w:val="auto"/>
              </w:rPr>
              <w:t xml:space="preserve"> duplication of compliance requirements </w:t>
            </w:r>
            <w:r w:rsidR="00E83A99">
              <w:rPr>
                <w:rFonts w:ascii="Arial" w:hAnsi="Arial" w:cs="Arial"/>
                <w:color w:val="auto"/>
              </w:rPr>
              <w:t>with the overarching f</w:t>
            </w:r>
            <w:r w:rsidR="009857DF" w:rsidRPr="00AF3038">
              <w:rPr>
                <w:rFonts w:ascii="Arial" w:hAnsi="Arial" w:cs="Arial"/>
                <w:color w:val="auto"/>
              </w:rPr>
              <w:t>inancial management compliance Direction.</w:t>
            </w:r>
          </w:p>
          <w:p w:rsidR="00ED443D" w:rsidRPr="00AF3038" w:rsidRDefault="00ED443D" w:rsidP="00ED443D">
            <w:pPr>
              <w:spacing w:before="0" w:after="0"/>
              <w:ind w:left="439"/>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D2B68" w:rsidRPr="00E24EAA" w:rsidTr="003A4D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190AE1" w:rsidP="00822E7D">
            <w:pPr>
              <w:rPr>
                <w:rFonts w:ascii="Arial" w:hAnsi="Arial" w:cs="Arial"/>
                <w:b w:val="0"/>
                <w:color w:val="auto"/>
              </w:rPr>
            </w:pPr>
            <w:r>
              <w:rPr>
                <w:rFonts w:ascii="Arial" w:hAnsi="Arial" w:cs="Arial"/>
                <w:b w:val="0"/>
                <w:color w:val="auto"/>
              </w:rPr>
              <w:t>4.5.8</w:t>
            </w:r>
            <w:r w:rsidR="00D35ADF" w:rsidRPr="00AF3038">
              <w:rPr>
                <w:rFonts w:ascii="Arial" w:hAnsi="Arial" w:cs="Arial"/>
                <w:b w:val="0"/>
                <w:color w:val="auto"/>
              </w:rPr>
              <w:t xml:space="preserve"> Commodity risk m</w:t>
            </w:r>
            <w:r w:rsidR="006D2B68" w:rsidRPr="00AF3038">
              <w:rPr>
                <w:rFonts w:ascii="Arial" w:hAnsi="Arial" w:cs="Arial"/>
                <w:b w:val="0"/>
                <w:color w:val="auto"/>
              </w:rPr>
              <w:t>anagement</w:t>
            </w:r>
          </w:p>
        </w:tc>
        <w:tc>
          <w:tcPr>
            <w:tcW w:w="2693"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3.7.2.</w:t>
            </w:r>
            <w:r w:rsidR="00822E7D" w:rsidRPr="00AF3038">
              <w:rPr>
                <w:rFonts w:ascii="Arial" w:hAnsi="Arial" w:cs="Arial"/>
                <w:color w:val="auto"/>
              </w:rPr>
              <w:t>2</w:t>
            </w:r>
            <w:r w:rsidRPr="00AF3038">
              <w:rPr>
                <w:rFonts w:ascii="Arial" w:hAnsi="Arial" w:cs="Arial"/>
                <w:color w:val="auto"/>
              </w:rPr>
              <w:t xml:space="preserve"> Treasury and investment risk management – policies</w:t>
            </w:r>
          </w:p>
          <w:p w:rsidR="006D2B68" w:rsidRPr="00AF3038" w:rsidRDefault="006D2B68" w:rsidP="00822E7D">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5.1 Financial management compliance</w:t>
            </w:r>
          </w:p>
        </w:tc>
        <w:tc>
          <w:tcPr>
            <w:tcW w:w="9105" w:type="dxa"/>
            <w:tcBorders>
              <w:top w:val="single" w:sz="4" w:space="0" w:color="749CC9" w:themeColor="accent3"/>
              <w:left w:val="single" w:sz="4" w:space="0" w:color="749CC9" w:themeColor="accent3"/>
              <w:bottom w:val="single" w:sz="4" w:space="0" w:color="749CC9" w:themeColor="accent3"/>
              <w:right w:val="single" w:sz="4" w:space="0" w:color="749CC9" w:themeColor="accent3"/>
            </w:tcBorders>
          </w:tcPr>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Incorporate</w:t>
            </w:r>
            <w:r w:rsidR="00D60AFC" w:rsidRPr="00AF3038">
              <w:rPr>
                <w:rFonts w:ascii="Arial" w:hAnsi="Arial" w:cs="Arial"/>
                <w:color w:val="auto"/>
              </w:rPr>
              <w:t>s</w:t>
            </w:r>
            <w:r w:rsidR="00190AE1">
              <w:rPr>
                <w:rFonts w:ascii="Arial" w:hAnsi="Arial" w:cs="Arial"/>
                <w:color w:val="auto"/>
              </w:rPr>
              <w:t xml:space="preserve"> 2003</w:t>
            </w:r>
            <w:r w:rsidRPr="00AF3038">
              <w:rPr>
                <w:rFonts w:ascii="Arial" w:hAnsi="Arial" w:cs="Arial"/>
                <w:color w:val="auto"/>
              </w:rPr>
              <w:t xml:space="preserve"> Direction </w:t>
            </w:r>
            <w:r w:rsidR="00190AE1">
              <w:rPr>
                <w:rFonts w:ascii="Arial" w:hAnsi="Arial" w:cs="Arial"/>
                <w:color w:val="auto"/>
              </w:rPr>
              <w:t xml:space="preserve">by </w:t>
            </w:r>
            <w:r w:rsidRPr="00AF3038">
              <w:rPr>
                <w:rFonts w:ascii="Arial" w:hAnsi="Arial" w:cs="Arial"/>
                <w:color w:val="auto"/>
              </w:rPr>
              <w:t>mandating specific government commodity risk requirements in</w:t>
            </w:r>
            <w:r w:rsidR="00E83A99">
              <w:rPr>
                <w:rFonts w:ascii="Arial" w:hAnsi="Arial" w:cs="Arial"/>
                <w:color w:val="auto"/>
              </w:rPr>
              <w:t>to a consolidated t</w:t>
            </w:r>
            <w:r w:rsidR="00B714D4" w:rsidRPr="00AF3038">
              <w:rPr>
                <w:rFonts w:ascii="Arial" w:hAnsi="Arial" w:cs="Arial"/>
                <w:color w:val="auto"/>
              </w:rPr>
              <w:t>reasury and investment risk m</w:t>
            </w:r>
            <w:r w:rsidR="00E83A99">
              <w:rPr>
                <w:rFonts w:ascii="Arial" w:hAnsi="Arial" w:cs="Arial"/>
                <w:color w:val="auto"/>
              </w:rPr>
              <w:t>anagement – p</w:t>
            </w:r>
            <w:r w:rsidRPr="00AF3038">
              <w:rPr>
                <w:rFonts w:ascii="Arial" w:hAnsi="Arial" w:cs="Arial"/>
                <w:color w:val="auto"/>
              </w:rPr>
              <w:t xml:space="preserve">olicies </w:t>
            </w:r>
            <w:r w:rsidR="00B714D4" w:rsidRPr="00AF3038">
              <w:rPr>
                <w:rFonts w:ascii="Arial" w:hAnsi="Arial" w:cs="Arial"/>
                <w:color w:val="auto"/>
              </w:rPr>
              <w:t xml:space="preserve">and procedures </w:t>
            </w:r>
            <w:r w:rsidRPr="00AF3038">
              <w:rPr>
                <w:rFonts w:ascii="Arial" w:hAnsi="Arial" w:cs="Arial"/>
                <w:color w:val="auto"/>
              </w:rPr>
              <w:t>Direction. Move</w:t>
            </w:r>
            <w:r w:rsidR="00636E96" w:rsidRPr="00AF3038">
              <w:rPr>
                <w:rFonts w:ascii="Arial" w:hAnsi="Arial" w:cs="Arial"/>
                <w:color w:val="auto"/>
              </w:rPr>
              <w:t>s</w:t>
            </w:r>
            <w:r w:rsidRPr="00AF3038">
              <w:rPr>
                <w:rFonts w:ascii="Arial" w:hAnsi="Arial" w:cs="Arial"/>
                <w:color w:val="auto"/>
              </w:rPr>
              <w:t xml:space="preserve"> procedural matters to guidance.</w:t>
            </w:r>
          </w:p>
          <w:p w:rsidR="006D2B68" w:rsidRPr="00AF3038" w:rsidRDefault="006D2B68" w:rsidP="00561ECF">
            <w:pPr>
              <w:numPr>
                <w:ilvl w:val="0"/>
                <w:numId w:val="6"/>
              </w:numPr>
              <w:tabs>
                <w:tab w:val="num" w:pos="439"/>
              </w:tabs>
              <w:spacing w:before="0" w:after="0"/>
              <w:ind w:left="43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F3038">
              <w:rPr>
                <w:rFonts w:ascii="Arial" w:hAnsi="Arial" w:cs="Arial"/>
                <w:color w:val="auto"/>
              </w:rPr>
              <w:t>Remove</w:t>
            </w:r>
            <w:r w:rsidR="00D60AFC" w:rsidRPr="00AF3038">
              <w:rPr>
                <w:rFonts w:ascii="Arial" w:hAnsi="Arial" w:cs="Arial"/>
                <w:color w:val="auto"/>
              </w:rPr>
              <w:t>s</w:t>
            </w:r>
            <w:r w:rsidRPr="00AF3038">
              <w:rPr>
                <w:rFonts w:ascii="Arial" w:hAnsi="Arial" w:cs="Arial"/>
                <w:color w:val="auto"/>
              </w:rPr>
              <w:t xml:space="preserve"> duplication of compliance requirements with the ove</w:t>
            </w:r>
            <w:r w:rsidR="00E83A99">
              <w:rPr>
                <w:rFonts w:ascii="Arial" w:hAnsi="Arial" w:cs="Arial"/>
                <w:color w:val="auto"/>
              </w:rPr>
              <w:t>rarching f</w:t>
            </w:r>
            <w:r w:rsidR="00636E96" w:rsidRPr="00AF3038">
              <w:rPr>
                <w:rFonts w:ascii="Arial" w:hAnsi="Arial" w:cs="Arial"/>
                <w:color w:val="auto"/>
              </w:rPr>
              <w:t>inancial management c</w:t>
            </w:r>
            <w:r w:rsidRPr="00AF3038">
              <w:rPr>
                <w:rFonts w:ascii="Arial" w:hAnsi="Arial" w:cs="Arial"/>
                <w:color w:val="auto"/>
              </w:rPr>
              <w:t>ompliance Direction.</w:t>
            </w:r>
          </w:p>
          <w:p w:rsidR="00ED443D" w:rsidRPr="00AF3038" w:rsidRDefault="00ED443D" w:rsidP="00ED443D">
            <w:pPr>
              <w:spacing w:before="0" w:after="0"/>
              <w:ind w:left="79"/>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bookmarkEnd w:id="0"/>
    </w:tbl>
    <w:p w:rsidR="00CE2090" w:rsidRDefault="00CE2090" w:rsidP="00AF3038"/>
    <w:sectPr w:rsidR="00CE2090" w:rsidSect="00110BAC">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260" w:right="1440" w:bottom="851" w:left="1440" w:header="450" w:footer="4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96" w:rsidRDefault="00B11996" w:rsidP="002D711A">
      <w:pPr>
        <w:spacing w:after="0" w:line="240" w:lineRule="auto"/>
      </w:pPr>
      <w:r>
        <w:separator/>
      </w:r>
    </w:p>
  </w:endnote>
  <w:endnote w:type="continuationSeparator" w:id="0">
    <w:p w:rsidR="00B11996" w:rsidRDefault="00B11996"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7D" w:rsidRPr="00014213" w:rsidRDefault="00822E7D" w:rsidP="006E0266">
    <w:pPr>
      <w:pStyle w:val="Footer"/>
    </w:pPr>
    <w:r>
      <w:drawing>
        <wp:anchor distT="0" distB="0" distL="114300" distR="114300" simplePos="0" relativeHeight="251667456" behindDoc="0" locked="0" layoutInCell="1" allowOverlap="1" wp14:anchorId="7CB4BF93" wp14:editId="3D2655A0">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7D" w:rsidRDefault="00822E7D" w:rsidP="00BF12A1">
    <w:pPr>
      <w:pStyle w:val="Spacer"/>
    </w:pPr>
  </w:p>
  <w:p w:rsidR="00822E7D" w:rsidRPr="006E0266" w:rsidRDefault="00822E7D" w:rsidP="006E0266">
    <w:pPr>
      <w:pStyle w:val="Footer"/>
    </w:pPr>
    <w:r w:rsidRPr="006E0266">
      <w:rPr>
        <w:b/>
        <w:noProof w:val="0"/>
        <w:color w:val="0063A6" w:themeColor="accent1"/>
      </w:rPr>
      <w:fldChar w:fldCharType="begin"/>
    </w:r>
    <w:r w:rsidRPr="006E0266">
      <w:rPr>
        <w:b/>
        <w:color w:val="0063A6" w:themeColor="accent1"/>
      </w:rPr>
      <w:instrText xml:space="preserve"> StyleRef “Title” </w:instrText>
    </w:r>
    <w:r w:rsidRPr="006E0266">
      <w:rPr>
        <w:b/>
        <w:noProof w:val="0"/>
        <w:color w:val="0063A6" w:themeColor="accent1"/>
      </w:rPr>
      <w:fldChar w:fldCharType="separate"/>
    </w:r>
    <w:r w:rsidR="00E4490C">
      <w:rPr>
        <w:b/>
        <w:color w:val="0063A6" w:themeColor="accent1"/>
      </w:rPr>
      <w:t>Comparison of 2003 and 2016 Standing Directions</w:t>
    </w:r>
    <w:r w:rsidRPr="006E0266">
      <w:rPr>
        <w:b/>
        <w:color w:val="0063A6" w:themeColor="accent1"/>
      </w:rPr>
      <w:fldChar w:fldCharType="end"/>
    </w:r>
    <w:r w:rsidRPr="00C022F9">
      <w:tab/>
    </w:r>
    <w:r w:rsidRPr="006E0266">
      <w:t xml:space="preserve">Page </w:t>
    </w:r>
    <w:r w:rsidRPr="006E0266">
      <w:rPr>
        <w:rStyle w:val="PageNumber"/>
        <w:color w:val="auto"/>
      </w:rPr>
      <w:fldChar w:fldCharType="begin"/>
    </w:r>
    <w:r w:rsidRPr="006E0266">
      <w:rPr>
        <w:rStyle w:val="PageNumber"/>
        <w:color w:val="auto"/>
      </w:rPr>
      <w:instrText xml:space="preserve"> Page </w:instrText>
    </w:r>
    <w:r w:rsidRPr="006E0266">
      <w:rPr>
        <w:rStyle w:val="PageNumber"/>
        <w:color w:val="auto"/>
      </w:rPr>
      <w:fldChar w:fldCharType="separate"/>
    </w:r>
    <w:r w:rsidR="00E4490C">
      <w:rPr>
        <w:rStyle w:val="PageNumber"/>
        <w:color w:val="auto"/>
      </w:rPr>
      <w:t>1</w:t>
    </w:r>
    <w:r w:rsidRPr="006E0266">
      <w:rPr>
        <w:rStyle w:val="PageNumbe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27" w:rsidRDefault="00126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96" w:rsidRDefault="00B11996" w:rsidP="002D711A">
      <w:pPr>
        <w:spacing w:after="0" w:line="240" w:lineRule="auto"/>
      </w:pPr>
      <w:r>
        <w:separator/>
      </w:r>
    </w:p>
  </w:footnote>
  <w:footnote w:type="continuationSeparator" w:id="0">
    <w:p w:rsidR="00B11996" w:rsidRDefault="00B11996"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27" w:rsidRDefault="00126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7D" w:rsidRPr="0041689E" w:rsidRDefault="00822E7D">
    <w:pPr>
      <w:pStyle w:val="Header"/>
    </w:pPr>
    <w:r>
      <w:rPr>
        <w:noProof/>
      </w:rPr>
      <w:drawing>
        <wp:anchor distT="0" distB="0" distL="114300" distR="114300" simplePos="0" relativeHeight="251669504" behindDoc="0" locked="0" layoutInCell="1" allowOverlap="1" wp14:anchorId="7C238D8F" wp14:editId="7AFAA68D">
          <wp:simplePos x="0" y="0"/>
          <wp:positionH relativeFrom="column">
            <wp:posOffset>-237379</wp:posOffset>
          </wp:positionH>
          <wp:positionV relativeFrom="page">
            <wp:posOffset>229870</wp:posOffset>
          </wp:positionV>
          <wp:extent cx="1183640" cy="352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183640" cy="352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CD455F2" wp14:editId="78F22650">
          <wp:simplePos x="0" y="0"/>
          <wp:positionH relativeFrom="column">
            <wp:posOffset>-2218994</wp:posOffset>
          </wp:positionH>
          <wp:positionV relativeFrom="page">
            <wp:posOffset>115570</wp:posOffset>
          </wp:positionV>
          <wp:extent cx="13157835" cy="5486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HEADER_9545 DTF Covers A4 Final_Blue6.png"/>
                  <pic:cNvPicPr/>
                </pic:nvPicPr>
                <pic:blipFill rotWithShape="1">
                  <a:blip r:embed="rId2" cstate="print">
                    <a:extLst>
                      <a:ext uri="{28A0092B-C50C-407E-A947-70E740481C1C}">
                        <a14:useLocalDpi xmlns:a14="http://schemas.microsoft.com/office/drawing/2010/main" val="0"/>
                      </a:ext>
                    </a:extLst>
                  </a:blip>
                  <a:srcRect b="13750"/>
                  <a:stretch/>
                </pic:blipFill>
                <pic:spPr bwMode="auto">
                  <a:xfrm>
                    <a:off x="0" y="0"/>
                    <a:ext cx="1315783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927" w:rsidRDefault="00126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81D"/>
    <w:multiLevelType w:val="hybridMultilevel"/>
    <w:tmpl w:val="ECD6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2B45B5"/>
    <w:multiLevelType w:val="hybridMultilevel"/>
    <w:tmpl w:val="BDDAC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946E89"/>
    <w:multiLevelType w:val="hybridMultilevel"/>
    <w:tmpl w:val="B7E0B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204EA8"/>
    <w:multiLevelType w:val="hybridMultilevel"/>
    <w:tmpl w:val="6F440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5423153"/>
    <w:multiLevelType w:val="hybridMultilevel"/>
    <w:tmpl w:val="EB48AE8A"/>
    <w:lvl w:ilvl="0" w:tplc="0C090001">
      <w:start w:val="1"/>
      <w:numFmt w:val="bullet"/>
      <w:lvlText w:val=""/>
      <w:lvlJc w:val="left"/>
      <w:pPr>
        <w:tabs>
          <w:tab w:val="num" w:pos="483"/>
        </w:tabs>
        <w:ind w:left="483" w:hanging="360"/>
      </w:pPr>
      <w:rPr>
        <w:rFonts w:ascii="Symbol" w:hAnsi="Symbol" w:hint="default"/>
      </w:rPr>
    </w:lvl>
    <w:lvl w:ilvl="1" w:tplc="0C090003">
      <w:start w:val="1"/>
      <w:numFmt w:val="bullet"/>
      <w:lvlText w:val="o"/>
      <w:lvlJc w:val="left"/>
      <w:pPr>
        <w:tabs>
          <w:tab w:val="num" w:pos="1203"/>
        </w:tabs>
        <w:ind w:left="1203" w:hanging="360"/>
      </w:pPr>
      <w:rPr>
        <w:rFonts w:ascii="Courier New" w:hAnsi="Courier New" w:cs="Courier New" w:hint="default"/>
      </w:rPr>
    </w:lvl>
    <w:lvl w:ilvl="2" w:tplc="0C090005" w:tentative="1">
      <w:start w:val="1"/>
      <w:numFmt w:val="bullet"/>
      <w:lvlText w:val=""/>
      <w:lvlJc w:val="left"/>
      <w:pPr>
        <w:tabs>
          <w:tab w:val="num" w:pos="1923"/>
        </w:tabs>
        <w:ind w:left="1923" w:hanging="360"/>
      </w:pPr>
      <w:rPr>
        <w:rFonts w:ascii="Wingdings" w:hAnsi="Wingdings" w:hint="default"/>
      </w:rPr>
    </w:lvl>
    <w:lvl w:ilvl="3" w:tplc="0C090001" w:tentative="1">
      <w:start w:val="1"/>
      <w:numFmt w:val="bullet"/>
      <w:lvlText w:val=""/>
      <w:lvlJc w:val="left"/>
      <w:pPr>
        <w:tabs>
          <w:tab w:val="num" w:pos="2643"/>
        </w:tabs>
        <w:ind w:left="2643" w:hanging="360"/>
      </w:pPr>
      <w:rPr>
        <w:rFonts w:ascii="Symbol" w:hAnsi="Symbol" w:hint="default"/>
      </w:rPr>
    </w:lvl>
    <w:lvl w:ilvl="4" w:tplc="0C090003" w:tentative="1">
      <w:start w:val="1"/>
      <w:numFmt w:val="bullet"/>
      <w:lvlText w:val="o"/>
      <w:lvlJc w:val="left"/>
      <w:pPr>
        <w:tabs>
          <w:tab w:val="num" w:pos="3363"/>
        </w:tabs>
        <w:ind w:left="3363" w:hanging="360"/>
      </w:pPr>
      <w:rPr>
        <w:rFonts w:ascii="Courier New" w:hAnsi="Courier New" w:cs="Courier New" w:hint="default"/>
      </w:rPr>
    </w:lvl>
    <w:lvl w:ilvl="5" w:tplc="0C090005" w:tentative="1">
      <w:start w:val="1"/>
      <w:numFmt w:val="bullet"/>
      <w:lvlText w:val=""/>
      <w:lvlJc w:val="left"/>
      <w:pPr>
        <w:tabs>
          <w:tab w:val="num" w:pos="4083"/>
        </w:tabs>
        <w:ind w:left="4083" w:hanging="360"/>
      </w:pPr>
      <w:rPr>
        <w:rFonts w:ascii="Wingdings" w:hAnsi="Wingdings" w:hint="default"/>
      </w:rPr>
    </w:lvl>
    <w:lvl w:ilvl="6" w:tplc="0C090001" w:tentative="1">
      <w:start w:val="1"/>
      <w:numFmt w:val="bullet"/>
      <w:lvlText w:val=""/>
      <w:lvlJc w:val="left"/>
      <w:pPr>
        <w:tabs>
          <w:tab w:val="num" w:pos="4803"/>
        </w:tabs>
        <w:ind w:left="4803" w:hanging="360"/>
      </w:pPr>
      <w:rPr>
        <w:rFonts w:ascii="Symbol" w:hAnsi="Symbol" w:hint="default"/>
      </w:rPr>
    </w:lvl>
    <w:lvl w:ilvl="7" w:tplc="0C090003" w:tentative="1">
      <w:start w:val="1"/>
      <w:numFmt w:val="bullet"/>
      <w:lvlText w:val="o"/>
      <w:lvlJc w:val="left"/>
      <w:pPr>
        <w:tabs>
          <w:tab w:val="num" w:pos="5523"/>
        </w:tabs>
        <w:ind w:left="5523" w:hanging="360"/>
      </w:pPr>
      <w:rPr>
        <w:rFonts w:ascii="Courier New" w:hAnsi="Courier New" w:cs="Courier New" w:hint="default"/>
      </w:rPr>
    </w:lvl>
    <w:lvl w:ilvl="8" w:tplc="0C090005" w:tentative="1">
      <w:start w:val="1"/>
      <w:numFmt w:val="bullet"/>
      <w:lvlText w:val=""/>
      <w:lvlJc w:val="left"/>
      <w:pPr>
        <w:tabs>
          <w:tab w:val="num" w:pos="6243"/>
        </w:tabs>
        <w:ind w:left="6243" w:hanging="360"/>
      </w:pPr>
      <w:rPr>
        <w:rFonts w:ascii="Wingdings" w:hAnsi="Wingdings" w:hint="default"/>
      </w:rPr>
    </w:lvl>
  </w:abstractNum>
  <w:abstractNum w:abstractNumId="5">
    <w:nsid w:val="15AC29A8"/>
    <w:multiLevelType w:val="hybridMultilevel"/>
    <w:tmpl w:val="44CCB9C2"/>
    <w:lvl w:ilvl="0" w:tplc="B58EAE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63F12AB"/>
    <w:multiLevelType w:val="hybridMultilevel"/>
    <w:tmpl w:val="B7FCE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136201"/>
    <w:multiLevelType w:val="hybridMultilevel"/>
    <w:tmpl w:val="1AE8B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B84485"/>
    <w:multiLevelType w:val="hybridMultilevel"/>
    <w:tmpl w:val="AEE659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6C2EB1"/>
    <w:multiLevelType w:val="hybridMultilevel"/>
    <w:tmpl w:val="EA2E6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2B0172"/>
    <w:multiLevelType w:val="hybridMultilevel"/>
    <w:tmpl w:val="407C3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C153BEE"/>
    <w:multiLevelType w:val="hybridMultilevel"/>
    <w:tmpl w:val="FA705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F55684D"/>
    <w:multiLevelType w:val="hybridMultilevel"/>
    <w:tmpl w:val="54F00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3281642"/>
    <w:multiLevelType w:val="hybridMultilevel"/>
    <w:tmpl w:val="5AC25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46D3A6A"/>
    <w:multiLevelType w:val="multilevel"/>
    <w:tmpl w:val="1CB0DDC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216"/>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6">
    <w:nsid w:val="544E0C64"/>
    <w:multiLevelType w:val="hybridMultilevel"/>
    <w:tmpl w:val="2842F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8DF27A2"/>
    <w:multiLevelType w:val="hybridMultilevel"/>
    <w:tmpl w:val="8F1A58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FC565DC"/>
    <w:multiLevelType w:val="hybridMultilevel"/>
    <w:tmpl w:val="C744FF4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9">
    <w:nsid w:val="67AC7F48"/>
    <w:multiLevelType w:val="hybridMultilevel"/>
    <w:tmpl w:val="5D90B4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DF105C8"/>
    <w:multiLevelType w:val="hybridMultilevel"/>
    <w:tmpl w:val="E26E47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F5262AC"/>
    <w:multiLevelType w:val="hybridMultilevel"/>
    <w:tmpl w:val="71703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33F00D4"/>
    <w:multiLevelType w:val="hybridMultilevel"/>
    <w:tmpl w:val="735E75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81E75B4"/>
    <w:multiLevelType w:val="hybridMultilevel"/>
    <w:tmpl w:val="9842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A7E12E5"/>
    <w:multiLevelType w:val="hybridMultilevel"/>
    <w:tmpl w:val="A8B82154"/>
    <w:lvl w:ilvl="0" w:tplc="DB862236">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D44514"/>
    <w:multiLevelType w:val="multilevel"/>
    <w:tmpl w:val="C9A8B48E"/>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864" w:hanging="504"/>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5"/>
  </w:num>
  <w:num w:numId="2">
    <w:abstractNumId w:val="25"/>
  </w:num>
  <w:num w:numId="3">
    <w:abstractNumId w:val="9"/>
  </w:num>
  <w:num w:numId="4">
    <w:abstractNumId w:val="24"/>
  </w:num>
  <w:num w:numId="5">
    <w:abstractNumId w:val="12"/>
  </w:num>
  <w:num w:numId="6">
    <w:abstractNumId w:val="4"/>
  </w:num>
  <w:num w:numId="7">
    <w:abstractNumId w:val="19"/>
  </w:num>
  <w:num w:numId="8">
    <w:abstractNumId w:val="2"/>
  </w:num>
  <w:num w:numId="9">
    <w:abstractNumId w:val="5"/>
  </w:num>
  <w:num w:numId="10">
    <w:abstractNumId w:val="7"/>
  </w:num>
  <w:num w:numId="11">
    <w:abstractNumId w:val="8"/>
  </w:num>
  <w:num w:numId="12">
    <w:abstractNumId w:val="13"/>
  </w:num>
  <w:num w:numId="13">
    <w:abstractNumId w:val="20"/>
  </w:num>
  <w:num w:numId="14">
    <w:abstractNumId w:val="17"/>
  </w:num>
  <w:num w:numId="15">
    <w:abstractNumId w:val="11"/>
  </w:num>
  <w:num w:numId="16">
    <w:abstractNumId w:val="6"/>
  </w:num>
  <w:num w:numId="17">
    <w:abstractNumId w:val="23"/>
  </w:num>
  <w:num w:numId="18">
    <w:abstractNumId w:val="1"/>
  </w:num>
  <w:num w:numId="19">
    <w:abstractNumId w:val="3"/>
  </w:num>
  <w:num w:numId="20">
    <w:abstractNumId w:val="10"/>
  </w:num>
  <w:num w:numId="21">
    <w:abstractNumId w:val="14"/>
  </w:num>
  <w:num w:numId="22">
    <w:abstractNumId w:val="22"/>
  </w:num>
  <w:num w:numId="23">
    <w:abstractNumId w:val="21"/>
  </w:num>
  <w:num w:numId="24">
    <w:abstractNumId w:val="0"/>
  </w:num>
  <w:num w:numId="25">
    <w:abstractNumId w:val="16"/>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6D"/>
    <w:rsid w:val="00012F6F"/>
    <w:rsid w:val="00014213"/>
    <w:rsid w:val="00014B55"/>
    <w:rsid w:val="00020E3E"/>
    <w:rsid w:val="00023BF3"/>
    <w:rsid w:val="00026811"/>
    <w:rsid w:val="00045296"/>
    <w:rsid w:val="00075E6C"/>
    <w:rsid w:val="000833CF"/>
    <w:rsid w:val="000A183E"/>
    <w:rsid w:val="000B29AD"/>
    <w:rsid w:val="000C22E5"/>
    <w:rsid w:val="000C6372"/>
    <w:rsid w:val="000E392D"/>
    <w:rsid w:val="000F4288"/>
    <w:rsid w:val="000F7165"/>
    <w:rsid w:val="00102379"/>
    <w:rsid w:val="001065D6"/>
    <w:rsid w:val="00110BAC"/>
    <w:rsid w:val="00121252"/>
    <w:rsid w:val="00124609"/>
    <w:rsid w:val="001254CE"/>
    <w:rsid w:val="001264AF"/>
    <w:rsid w:val="00126927"/>
    <w:rsid w:val="00134CEA"/>
    <w:rsid w:val="001422CC"/>
    <w:rsid w:val="00145AD5"/>
    <w:rsid w:val="001617B6"/>
    <w:rsid w:val="00165E66"/>
    <w:rsid w:val="00190AE1"/>
    <w:rsid w:val="001B047C"/>
    <w:rsid w:val="001B1823"/>
    <w:rsid w:val="001C7BAE"/>
    <w:rsid w:val="001E31FA"/>
    <w:rsid w:val="001E64F6"/>
    <w:rsid w:val="00222BEB"/>
    <w:rsid w:val="00225E60"/>
    <w:rsid w:val="00230795"/>
    <w:rsid w:val="0023202C"/>
    <w:rsid w:val="00236203"/>
    <w:rsid w:val="00245043"/>
    <w:rsid w:val="00257760"/>
    <w:rsid w:val="00291A97"/>
    <w:rsid w:val="00292D36"/>
    <w:rsid w:val="00297281"/>
    <w:rsid w:val="002A5CE1"/>
    <w:rsid w:val="002C54E0"/>
    <w:rsid w:val="002D711A"/>
    <w:rsid w:val="002D7336"/>
    <w:rsid w:val="002E3396"/>
    <w:rsid w:val="0031149C"/>
    <w:rsid w:val="00354DEA"/>
    <w:rsid w:val="0038771C"/>
    <w:rsid w:val="0039405B"/>
    <w:rsid w:val="003A0BB4"/>
    <w:rsid w:val="003A1C92"/>
    <w:rsid w:val="003A49D3"/>
    <w:rsid w:val="003A4D67"/>
    <w:rsid w:val="003A541A"/>
    <w:rsid w:val="003A6923"/>
    <w:rsid w:val="003B0A77"/>
    <w:rsid w:val="003C2C67"/>
    <w:rsid w:val="003C5BA4"/>
    <w:rsid w:val="003E3E26"/>
    <w:rsid w:val="003E52DC"/>
    <w:rsid w:val="003F1295"/>
    <w:rsid w:val="003F76FC"/>
    <w:rsid w:val="004002EB"/>
    <w:rsid w:val="00402239"/>
    <w:rsid w:val="0041689E"/>
    <w:rsid w:val="004236C8"/>
    <w:rsid w:val="00427681"/>
    <w:rsid w:val="00433DB7"/>
    <w:rsid w:val="00453750"/>
    <w:rsid w:val="00456941"/>
    <w:rsid w:val="004702EA"/>
    <w:rsid w:val="00482D02"/>
    <w:rsid w:val="004A7519"/>
    <w:rsid w:val="004B3DE7"/>
    <w:rsid w:val="004D3518"/>
    <w:rsid w:val="004D62D6"/>
    <w:rsid w:val="004E3419"/>
    <w:rsid w:val="004F387D"/>
    <w:rsid w:val="0050049C"/>
    <w:rsid w:val="00501882"/>
    <w:rsid w:val="0053416C"/>
    <w:rsid w:val="0054074D"/>
    <w:rsid w:val="005413D5"/>
    <w:rsid w:val="00541C2F"/>
    <w:rsid w:val="005551C0"/>
    <w:rsid w:val="00556417"/>
    <w:rsid w:val="00561ECF"/>
    <w:rsid w:val="00563527"/>
    <w:rsid w:val="0058124E"/>
    <w:rsid w:val="005875A3"/>
    <w:rsid w:val="00592143"/>
    <w:rsid w:val="005A3416"/>
    <w:rsid w:val="005B27FE"/>
    <w:rsid w:val="005C3E6D"/>
    <w:rsid w:val="005F3DC5"/>
    <w:rsid w:val="005F61DF"/>
    <w:rsid w:val="00600B02"/>
    <w:rsid w:val="006023F9"/>
    <w:rsid w:val="00610559"/>
    <w:rsid w:val="00617AB1"/>
    <w:rsid w:val="00632616"/>
    <w:rsid w:val="006332F6"/>
    <w:rsid w:val="006349DD"/>
    <w:rsid w:val="00636E96"/>
    <w:rsid w:val="006534B2"/>
    <w:rsid w:val="0065615D"/>
    <w:rsid w:val="00657011"/>
    <w:rsid w:val="006650B5"/>
    <w:rsid w:val="006651B1"/>
    <w:rsid w:val="00665778"/>
    <w:rsid w:val="0068490B"/>
    <w:rsid w:val="0068653A"/>
    <w:rsid w:val="006A5B34"/>
    <w:rsid w:val="006C77A9"/>
    <w:rsid w:val="006D2B68"/>
    <w:rsid w:val="006E0266"/>
    <w:rsid w:val="006E5822"/>
    <w:rsid w:val="006F6693"/>
    <w:rsid w:val="00707FE8"/>
    <w:rsid w:val="0071545F"/>
    <w:rsid w:val="00721803"/>
    <w:rsid w:val="00724962"/>
    <w:rsid w:val="00724A0F"/>
    <w:rsid w:val="00732162"/>
    <w:rsid w:val="00736732"/>
    <w:rsid w:val="00750CBE"/>
    <w:rsid w:val="007512C8"/>
    <w:rsid w:val="00763002"/>
    <w:rsid w:val="00763D10"/>
    <w:rsid w:val="00766B5A"/>
    <w:rsid w:val="007740F0"/>
    <w:rsid w:val="007834F2"/>
    <w:rsid w:val="00791020"/>
    <w:rsid w:val="00792B6C"/>
    <w:rsid w:val="00794FEC"/>
    <w:rsid w:val="007A5F82"/>
    <w:rsid w:val="007A6AF8"/>
    <w:rsid w:val="007E42F3"/>
    <w:rsid w:val="007F1A4C"/>
    <w:rsid w:val="008022C3"/>
    <w:rsid w:val="008041E6"/>
    <w:rsid w:val="008065D2"/>
    <w:rsid w:val="0082194C"/>
    <w:rsid w:val="008220C4"/>
    <w:rsid w:val="008222FF"/>
    <w:rsid w:val="00822E7D"/>
    <w:rsid w:val="008241FF"/>
    <w:rsid w:val="008411E9"/>
    <w:rsid w:val="0084199B"/>
    <w:rsid w:val="0084200F"/>
    <w:rsid w:val="00843B2C"/>
    <w:rsid w:val="00867F2E"/>
    <w:rsid w:val="008718E6"/>
    <w:rsid w:val="00897FCE"/>
    <w:rsid w:val="008A4900"/>
    <w:rsid w:val="008A7020"/>
    <w:rsid w:val="008D0281"/>
    <w:rsid w:val="008E36C0"/>
    <w:rsid w:val="008F276D"/>
    <w:rsid w:val="008F6D45"/>
    <w:rsid w:val="00913170"/>
    <w:rsid w:val="009243D4"/>
    <w:rsid w:val="00931020"/>
    <w:rsid w:val="00933575"/>
    <w:rsid w:val="00933A08"/>
    <w:rsid w:val="0096023C"/>
    <w:rsid w:val="00964389"/>
    <w:rsid w:val="009834C0"/>
    <w:rsid w:val="009857DF"/>
    <w:rsid w:val="00986AAC"/>
    <w:rsid w:val="0099163F"/>
    <w:rsid w:val="00991FA0"/>
    <w:rsid w:val="009A1DA2"/>
    <w:rsid w:val="009A3704"/>
    <w:rsid w:val="009A4739"/>
    <w:rsid w:val="009A674F"/>
    <w:rsid w:val="009B144D"/>
    <w:rsid w:val="009B199C"/>
    <w:rsid w:val="009B54C8"/>
    <w:rsid w:val="009B61F1"/>
    <w:rsid w:val="009B62E0"/>
    <w:rsid w:val="009B7012"/>
    <w:rsid w:val="009C3D88"/>
    <w:rsid w:val="009D3B5F"/>
    <w:rsid w:val="009E3858"/>
    <w:rsid w:val="009E70DD"/>
    <w:rsid w:val="009F2ED9"/>
    <w:rsid w:val="009F3231"/>
    <w:rsid w:val="009F5C58"/>
    <w:rsid w:val="00A023A0"/>
    <w:rsid w:val="00A1562B"/>
    <w:rsid w:val="00A170F4"/>
    <w:rsid w:val="00A2559E"/>
    <w:rsid w:val="00A25FD9"/>
    <w:rsid w:val="00A46BA8"/>
    <w:rsid w:val="00A47634"/>
    <w:rsid w:val="00A612FE"/>
    <w:rsid w:val="00A666C0"/>
    <w:rsid w:val="00A72CDD"/>
    <w:rsid w:val="00AA26B8"/>
    <w:rsid w:val="00AB2B37"/>
    <w:rsid w:val="00AB3FE2"/>
    <w:rsid w:val="00AD3322"/>
    <w:rsid w:val="00AD7E4E"/>
    <w:rsid w:val="00AF3038"/>
    <w:rsid w:val="00AF4D58"/>
    <w:rsid w:val="00AF6666"/>
    <w:rsid w:val="00B10154"/>
    <w:rsid w:val="00B11996"/>
    <w:rsid w:val="00B173BC"/>
    <w:rsid w:val="00B34C42"/>
    <w:rsid w:val="00B714D4"/>
    <w:rsid w:val="00B730D4"/>
    <w:rsid w:val="00B76B17"/>
    <w:rsid w:val="00B81B44"/>
    <w:rsid w:val="00B9053B"/>
    <w:rsid w:val="00B91478"/>
    <w:rsid w:val="00BA13B7"/>
    <w:rsid w:val="00BC3422"/>
    <w:rsid w:val="00BF12A1"/>
    <w:rsid w:val="00C015B9"/>
    <w:rsid w:val="00C022F9"/>
    <w:rsid w:val="00C032EA"/>
    <w:rsid w:val="00C069CD"/>
    <w:rsid w:val="00C06EB5"/>
    <w:rsid w:val="00C1145F"/>
    <w:rsid w:val="00C53FC8"/>
    <w:rsid w:val="00C6050C"/>
    <w:rsid w:val="00C637E1"/>
    <w:rsid w:val="00C70D50"/>
    <w:rsid w:val="00C7381F"/>
    <w:rsid w:val="00C907D7"/>
    <w:rsid w:val="00C92338"/>
    <w:rsid w:val="00CA7C3A"/>
    <w:rsid w:val="00CC2DB2"/>
    <w:rsid w:val="00CD0307"/>
    <w:rsid w:val="00CD3D1B"/>
    <w:rsid w:val="00CE2090"/>
    <w:rsid w:val="00CE451F"/>
    <w:rsid w:val="00CF08B1"/>
    <w:rsid w:val="00CF7DCA"/>
    <w:rsid w:val="00D21F48"/>
    <w:rsid w:val="00D2312F"/>
    <w:rsid w:val="00D248ED"/>
    <w:rsid w:val="00D269C1"/>
    <w:rsid w:val="00D35ADF"/>
    <w:rsid w:val="00D40B38"/>
    <w:rsid w:val="00D44953"/>
    <w:rsid w:val="00D542F3"/>
    <w:rsid w:val="00D5644B"/>
    <w:rsid w:val="00D56E25"/>
    <w:rsid w:val="00D60AFC"/>
    <w:rsid w:val="00D615D9"/>
    <w:rsid w:val="00D718D7"/>
    <w:rsid w:val="00D76543"/>
    <w:rsid w:val="00D814B7"/>
    <w:rsid w:val="00D90688"/>
    <w:rsid w:val="00DA3AAD"/>
    <w:rsid w:val="00DA603B"/>
    <w:rsid w:val="00DB312B"/>
    <w:rsid w:val="00DC1FC6"/>
    <w:rsid w:val="00DC5654"/>
    <w:rsid w:val="00DC658F"/>
    <w:rsid w:val="00DE60CC"/>
    <w:rsid w:val="00E15A83"/>
    <w:rsid w:val="00E24EAA"/>
    <w:rsid w:val="00E26B32"/>
    <w:rsid w:val="00E407B6"/>
    <w:rsid w:val="00E40E36"/>
    <w:rsid w:val="00E41EF1"/>
    <w:rsid w:val="00E42942"/>
    <w:rsid w:val="00E4490C"/>
    <w:rsid w:val="00E468A6"/>
    <w:rsid w:val="00E71BDF"/>
    <w:rsid w:val="00E80549"/>
    <w:rsid w:val="00E83A99"/>
    <w:rsid w:val="00E83CA7"/>
    <w:rsid w:val="00E93340"/>
    <w:rsid w:val="00EC171D"/>
    <w:rsid w:val="00ED443D"/>
    <w:rsid w:val="00ED487E"/>
    <w:rsid w:val="00EE7A0D"/>
    <w:rsid w:val="00F120D7"/>
    <w:rsid w:val="00F17CE1"/>
    <w:rsid w:val="00F2115C"/>
    <w:rsid w:val="00F22ABA"/>
    <w:rsid w:val="00F24B23"/>
    <w:rsid w:val="00F33804"/>
    <w:rsid w:val="00F36B12"/>
    <w:rsid w:val="00F46F2A"/>
    <w:rsid w:val="00F60F9F"/>
    <w:rsid w:val="00F64F08"/>
    <w:rsid w:val="00F652C1"/>
    <w:rsid w:val="00F734F5"/>
    <w:rsid w:val="00F86A84"/>
    <w:rsid w:val="00F9516F"/>
    <w:rsid w:val="00F966B1"/>
    <w:rsid w:val="00F97D48"/>
    <w:rsid w:val="00FA0311"/>
    <w:rsid w:val="00FA1579"/>
    <w:rsid w:val="00FD19EE"/>
    <w:rsid w:val="00FD640F"/>
    <w:rsid w:val="00FD6B4C"/>
    <w:rsid w:val="00FE585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931020"/>
    <w:pPr>
      <w:spacing w:before="160" w:after="100"/>
    </w:pPr>
    <w:rPr>
      <w:spacing w:val="2"/>
    </w:rPr>
  </w:style>
  <w:style w:type="paragraph" w:styleId="Heading1">
    <w:name w:val="heading 1"/>
    <w:next w:val="Normal"/>
    <w:link w:val="Heading1Char"/>
    <w:qFormat/>
    <w:rsid w:val="005F3DC5"/>
    <w:pPr>
      <w:keepNext/>
      <w:keepLines/>
      <w:spacing w:before="400" w:after="6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5F3DC5"/>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2"/>
      </w:numPr>
    </w:pPr>
  </w:style>
  <w:style w:type="paragraph" w:customStyle="1" w:styleId="Heading2numbered">
    <w:name w:val="Heading 2 numbered"/>
    <w:basedOn w:val="Heading2"/>
    <w:next w:val="NormalIndent"/>
    <w:uiPriority w:val="4"/>
    <w:qFormat/>
    <w:rsid w:val="00EC171D"/>
    <w:pPr>
      <w:numPr>
        <w:ilvl w:val="3"/>
        <w:numId w:val="2"/>
      </w:numPr>
    </w:pPr>
  </w:style>
  <w:style w:type="paragraph" w:customStyle="1" w:styleId="Heading3numbered">
    <w:name w:val="Heading 3 numbered"/>
    <w:basedOn w:val="Heading3"/>
    <w:next w:val="NormalIndent"/>
    <w:uiPriority w:val="4"/>
    <w:qFormat/>
    <w:rsid w:val="00EC171D"/>
    <w:pPr>
      <w:numPr>
        <w:ilvl w:val="4"/>
        <w:numId w:val="2"/>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4"/>
    <w:qFormat/>
    <w:rsid w:val="00EC171D"/>
    <w:pPr>
      <w:numPr>
        <w:ilvl w:val="5"/>
        <w:numId w:val="2"/>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93102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80549"/>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E80549"/>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6E0266"/>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2"/>
      </w:numPr>
      <w:spacing w:before="100"/>
      <w:contextualSpacing/>
    </w:pPr>
  </w:style>
  <w:style w:type="paragraph" w:customStyle="1" w:styleId="Listnumindent">
    <w:name w:val="List num indent"/>
    <w:basedOn w:val="Normal"/>
    <w:uiPriority w:val="5"/>
    <w:qFormat/>
    <w:rsid w:val="00EC171D"/>
    <w:pPr>
      <w:numPr>
        <w:ilvl w:val="6"/>
        <w:numId w:val="2"/>
      </w:numPr>
      <w:spacing w:before="100"/>
    </w:pPr>
  </w:style>
  <w:style w:type="paragraph" w:customStyle="1" w:styleId="Listnum">
    <w:name w:val="List num"/>
    <w:basedOn w:val="Normal"/>
    <w:uiPriority w:val="1"/>
    <w:qFormat/>
    <w:rsid w:val="00EC171D"/>
    <w:pPr>
      <w:numPr>
        <w:numId w:val="2"/>
      </w:numPr>
    </w:pPr>
  </w:style>
  <w:style w:type="paragraph" w:customStyle="1" w:styleId="Listnum2">
    <w:name w:val="List num 2"/>
    <w:basedOn w:val="Normal"/>
    <w:uiPriority w:val="1"/>
    <w:qFormat/>
    <w:rsid w:val="00EC171D"/>
    <w:pPr>
      <w:numPr>
        <w:ilvl w:val="1"/>
        <w:numId w:val="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C1FC6"/>
    <w:pPr>
      <w:numPr>
        <w:numId w:val="3"/>
      </w:numPr>
    </w:pPr>
  </w:style>
  <w:style w:type="paragraph" w:customStyle="1" w:styleId="Tabledash">
    <w:name w:val="Table dash"/>
    <w:basedOn w:val="Tablebullet"/>
    <w:uiPriority w:val="7"/>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D40B38"/>
    <w:pPr>
      <w:numPr>
        <w:numId w:val="4"/>
      </w:numPr>
      <w:tabs>
        <w:tab w:val="num" w:pos="504"/>
        <w:tab w:val="left" w:pos="540"/>
      </w:tabs>
      <w:ind w:left="504" w:hanging="504"/>
    </w:pPr>
  </w:style>
  <w:style w:type="paragraph" w:styleId="ListParagraph">
    <w:name w:val="List Paragraph"/>
    <w:basedOn w:val="Normal"/>
    <w:link w:val="ListParagraphChar"/>
    <w:uiPriority w:val="34"/>
    <w:qFormat/>
    <w:rsid w:val="00D40B38"/>
    <w:pPr>
      <w:ind w:left="720"/>
      <w:contextualSpacing/>
    </w:pPr>
  </w:style>
  <w:style w:type="table" w:styleId="LightShading-Accent4">
    <w:name w:val="Light Shading Accent 4"/>
    <w:basedOn w:val="TableNormal"/>
    <w:uiPriority w:val="60"/>
    <w:rsid w:val="008F276D"/>
    <w:pPr>
      <w:spacing w:after="0" w:line="240" w:lineRule="auto"/>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character" w:customStyle="1" w:styleId="ListParagraphChar">
    <w:name w:val="List Paragraph Char"/>
    <w:basedOn w:val="DefaultParagraphFont"/>
    <w:link w:val="ListParagraph"/>
    <w:uiPriority w:val="34"/>
    <w:rsid w:val="006D2B68"/>
    <w:rPr>
      <w:spacing w:val="2"/>
    </w:rPr>
  </w:style>
  <w:style w:type="table" w:customStyle="1" w:styleId="ColorfulGrid1">
    <w:name w:val="Colorful Grid1"/>
    <w:basedOn w:val="TableNormal"/>
    <w:semiHidden/>
    <w:rsid w:val="006D2B68"/>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6">
    <w:name w:val="Colorful Grid Accent 6"/>
    <w:basedOn w:val="TableNormal"/>
    <w:uiPriority w:val="73"/>
    <w:rsid w:val="006D2B68"/>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1">
    <w:name w:val="Colorful List Accent 1"/>
    <w:basedOn w:val="TableNormal"/>
    <w:uiPriority w:val="72"/>
    <w:rsid w:val="006D2B68"/>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
    <w:name w:val="Light Grid"/>
    <w:basedOn w:val="TableNormal"/>
    <w:uiPriority w:val="62"/>
    <w:rsid w:val="00AF30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AF3038"/>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List-Accent5">
    <w:name w:val="Light List Accent 5"/>
    <w:basedOn w:val="TableNormal"/>
    <w:uiPriority w:val="61"/>
    <w:rsid w:val="00AF3038"/>
    <w:pPr>
      <w:spacing w:after="0" w:line="240" w:lineRule="auto"/>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3">
    <w:name w:val="Light List Accent 3"/>
    <w:basedOn w:val="TableNormal"/>
    <w:uiPriority w:val="61"/>
    <w:rsid w:val="00AF3038"/>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Shading-Accent3">
    <w:name w:val="Light Shading Accent 3"/>
    <w:basedOn w:val="TableNormal"/>
    <w:uiPriority w:val="60"/>
    <w:rsid w:val="00AF3038"/>
    <w:pPr>
      <w:spacing w:after="0" w:line="240" w:lineRule="auto"/>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931020"/>
    <w:pPr>
      <w:spacing w:before="160" w:after="100"/>
    </w:pPr>
    <w:rPr>
      <w:spacing w:val="2"/>
    </w:rPr>
  </w:style>
  <w:style w:type="paragraph" w:styleId="Heading1">
    <w:name w:val="heading 1"/>
    <w:next w:val="Normal"/>
    <w:link w:val="Heading1Char"/>
    <w:qFormat/>
    <w:rsid w:val="005F3DC5"/>
    <w:pPr>
      <w:keepNext/>
      <w:keepLines/>
      <w:spacing w:before="400" w:after="600"/>
      <w:outlineLvl w:val="0"/>
    </w:pPr>
    <w:rPr>
      <w:rFonts w:asciiTheme="majorHAnsi" w:eastAsiaTheme="majorEastAsia" w:hAnsiTheme="majorHAnsi" w:cstheme="majorBidi"/>
      <w:b/>
      <w:bCs/>
      <w:color w:val="201547"/>
      <w:spacing w:val="-1"/>
      <w:sz w:val="32"/>
      <w:szCs w:val="28"/>
    </w:rPr>
  </w:style>
  <w:style w:type="paragraph" w:styleId="Heading2">
    <w:name w:val="heading 2"/>
    <w:basedOn w:val="Normal"/>
    <w:next w:val="Normal"/>
    <w:link w:val="Heading2Char"/>
    <w:qFormat/>
    <w:rsid w:val="005F3DC5"/>
    <w:pPr>
      <w:keepNext/>
      <w:keepLines/>
      <w:spacing w:before="280" w:after="24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5F3DC5"/>
    <w:pPr>
      <w:keepNext/>
      <w:keepLines/>
      <w:spacing w:before="240" w:after="120"/>
      <w:outlineLvl w:val="2"/>
    </w:pPr>
    <w:rPr>
      <w:rFonts w:asciiTheme="majorHAnsi" w:eastAsiaTheme="majorEastAsia" w:hAnsiTheme="majorHAnsi" w:cstheme="majorBidi"/>
      <w:b/>
      <w:bCs/>
      <w:color w:val="0063A6" w:themeColor="accent1"/>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91FA0"/>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semiHidden/>
    <w:rsid w:val="00EC171D"/>
    <w:pPr>
      <w:tabs>
        <w:tab w:val="right" w:leader="dot" w:pos="9000"/>
      </w:tabs>
      <w:ind w:right="432"/>
    </w:pPr>
    <w:rPr>
      <w:sz w:val="24"/>
      <w:szCs w:val="24"/>
    </w:rPr>
  </w:style>
  <w:style w:type="paragraph" w:styleId="TOC2">
    <w:name w:val="toc 2"/>
    <w:next w:val="Normal"/>
    <w:uiPriority w:val="39"/>
    <w:semiHidden/>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semiHidden/>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5F3DC5"/>
    <w:rPr>
      <w:rFonts w:asciiTheme="majorHAnsi" w:eastAsiaTheme="majorEastAsia" w:hAnsiTheme="majorHAnsi" w:cstheme="majorBidi"/>
      <w:b/>
      <w:bCs/>
      <w:color w:val="201547"/>
      <w:spacing w:val="-1"/>
      <w:sz w:val="32"/>
      <w:szCs w:val="28"/>
    </w:rPr>
  </w:style>
  <w:style w:type="character" w:customStyle="1" w:styleId="Heading2Char">
    <w:name w:val="Heading 2 Char"/>
    <w:basedOn w:val="DefaultParagraphFont"/>
    <w:link w:val="Heading2"/>
    <w:rsid w:val="005F3DC5"/>
    <w:rPr>
      <w:rFonts w:asciiTheme="majorHAnsi" w:eastAsiaTheme="majorEastAsia" w:hAnsiTheme="majorHAnsi" w:cstheme="majorBidi"/>
      <w:b/>
      <w:bCs/>
      <w:color w:val="0063A6" w:themeColor="accent1"/>
      <w:spacing w:val="2"/>
      <w:sz w:val="24"/>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5"/>
    <w:qFormat/>
    <w:rsid w:val="00EC171D"/>
    <w:pPr>
      <w:numPr>
        <w:ilvl w:val="2"/>
      </w:numPr>
    </w:pPr>
  </w:style>
  <w:style w:type="paragraph" w:customStyle="1" w:styleId="Heading1numbered">
    <w:name w:val="Heading 1 numbered"/>
    <w:basedOn w:val="Heading1"/>
    <w:next w:val="NormalIndent"/>
    <w:uiPriority w:val="4"/>
    <w:qFormat/>
    <w:rsid w:val="00EC171D"/>
    <w:pPr>
      <w:numPr>
        <w:ilvl w:val="2"/>
        <w:numId w:val="2"/>
      </w:numPr>
    </w:pPr>
  </w:style>
  <w:style w:type="paragraph" w:customStyle="1" w:styleId="Heading2numbered">
    <w:name w:val="Heading 2 numbered"/>
    <w:basedOn w:val="Heading2"/>
    <w:next w:val="NormalIndent"/>
    <w:uiPriority w:val="4"/>
    <w:qFormat/>
    <w:rsid w:val="00EC171D"/>
    <w:pPr>
      <w:numPr>
        <w:ilvl w:val="3"/>
        <w:numId w:val="2"/>
      </w:numPr>
    </w:pPr>
  </w:style>
  <w:style w:type="paragraph" w:customStyle="1" w:styleId="Heading3numbered">
    <w:name w:val="Heading 3 numbered"/>
    <w:basedOn w:val="Heading3"/>
    <w:next w:val="NormalIndent"/>
    <w:uiPriority w:val="4"/>
    <w:qFormat/>
    <w:rsid w:val="00EC171D"/>
    <w:pPr>
      <w:numPr>
        <w:ilvl w:val="4"/>
        <w:numId w:val="2"/>
      </w:numPr>
    </w:pPr>
  </w:style>
  <w:style w:type="character" w:customStyle="1" w:styleId="Heading3Char">
    <w:name w:val="Heading 3 Char"/>
    <w:basedOn w:val="DefaultParagraphFont"/>
    <w:link w:val="Heading3"/>
    <w:rsid w:val="005F3DC5"/>
    <w:rPr>
      <w:rFonts w:asciiTheme="majorHAnsi" w:eastAsiaTheme="majorEastAsia" w:hAnsiTheme="majorHAnsi" w:cstheme="majorBidi"/>
      <w:b/>
      <w:bCs/>
      <w:color w:val="0063A6" w:themeColor="accent1"/>
      <w:spacing w:val="2"/>
      <w:szCs w:val="22"/>
    </w:rPr>
  </w:style>
  <w:style w:type="paragraph" w:customStyle="1" w:styleId="Heading4numbered">
    <w:name w:val="Heading 4 numbered"/>
    <w:basedOn w:val="Heading4"/>
    <w:next w:val="NormalIndent"/>
    <w:uiPriority w:val="4"/>
    <w:qFormat/>
    <w:rsid w:val="00EC171D"/>
    <w:pPr>
      <w:numPr>
        <w:ilvl w:val="5"/>
        <w:numId w:val="2"/>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4"/>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931020"/>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rsid w:val="00E80549"/>
    <w:pPr>
      <w:spacing w:before="240" w:after="240" w:line="252" w:lineRule="auto"/>
    </w:pPr>
    <w:rPr>
      <w:rFonts w:asciiTheme="majorHAnsi" w:eastAsia="Times New Roman" w:hAnsiTheme="majorHAnsi" w:cstheme="majorHAnsi"/>
      <w:b/>
      <w:color w:val="0063A6" w:themeColor="accent1"/>
      <w:spacing w:val="-2"/>
      <w:sz w:val="52"/>
      <w:szCs w:val="22"/>
    </w:rPr>
  </w:style>
  <w:style w:type="character" w:customStyle="1" w:styleId="TitleChar">
    <w:name w:val="Title Char"/>
    <w:basedOn w:val="DefaultParagraphFont"/>
    <w:link w:val="Title"/>
    <w:uiPriority w:val="99"/>
    <w:rsid w:val="00E80549"/>
    <w:rPr>
      <w:rFonts w:asciiTheme="majorHAnsi" w:eastAsia="Times New Roman" w:hAnsiTheme="majorHAnsi" w:cstheme="majorHAnsi"/>
      <w:b/>
      <w:color w:val="0063A6" w:themeColor="accent1"/>
      <w:spacing w:val="-2"/>
      <w:sz w:val="52"/>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5"/>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6E0266"/>
    <w:pPr>
      <w:tabs>
        <w:tab w:val="right" w:pos="13950"/>
      </w:tabs>
      <w:spacing w:before="0" w:after="0" w:line="240" w:lineRule="auto"/>
    </w:pPr>
    <w:rPr>
      <w:noProof/>
      <w:sz w:val="18"/>
      <w:szCs w:val="18"/>
    </w:rPr>
  </w:style>
  <w:style w:type="character" w:customStyle="1" w:styleId="FooterChar">
    <w:name w:val="Footer Char"/>
    <w:basedOn w:val="DefaultParagraphFont"/>
    <w:link w:val="Footer"/>
    <w:uiPriority w:val="24"/>
    <w:rsid w:val="006E0266"/>
    <w:rPr>
      <w:noProof/>
      <w:spacing w:val="2"/>
      <w:sz w:val="18"/>
      <w:szCs w:val="18"/>
    </w:rPr>
  </w:style>
  <w:style w:type="character" w:styleId="PageNumber">
    <w:name w:val="page number"/>
    <w:uiPriority w:val="49"/>
    <w:semiHidden/>
    <w:rsid w:val="00EC171D"/>
    <w:rPr>
      <w:b w:val="0"/>
      <w:color w:val="4C4C4C"/>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991FA0"/>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91FA0"/>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6"/>
    <w:qFormat/>
    <w:rsid w:val="00CE2090"/>
    <w:pPr>
      <w:spacing w:before="60" w:after="60" w:line="264" w:lineRule="auto"/>
    </w:pPr>
    <w:rPr>
      <w:sz w:val="17"/>
    </w:rPr>
  </w:style>
  <w:style w:type="paragraph" w:customStyle="1" w:styleId="Tabletextright">
    <w:name w:val="Table text right"/>
    <w:basedOn w:val="Tabletext"/>
    <w:uiPriority w:val="6"/>
    <w:qFormat/>
    <w:rsid w:val="00EC171D"/>
    <w:pPr>
      <w:jc w:val="right"/>
    </w:pPr>
  </w:style>
  <w:style w:type="paragraph" w:customStyle="1" w:styleId="Listnumindent2">
    <w:name w:val="List num indent 2"/>
    <w:basedOn w:val="Normal"/>
    <w:uiPriority w:val="5"/>
    <w:qFormat/>
    <w:rsid w:val="00EC171D"/>
    <w:pPr>
      <w:numPr>
        <w:ilvl w:val="7"/>
        <w:numId w:val="2"/>
      </w:numPr>
      <w:spacing w:before="100"/>
      <w:contextualSpacing/>
    </w:pPr>
  </w:style>
  <w:style w:type="paragraph" w:customStyle="1" w:styleId="Listnumindent">
    <w:name w:val="List num indent"/>
    <w:basedOn w:val="Normal"/>
    <w:uiPriority w:val="5"/>
    <w:qFormat/>
    <w:rsid w:val="00EC171D"/>
    <w:pPr>
      <w:numPr>
        <w:ilvl w:val="6"/>
        <w:numId w:val="2"/>
      </w:numPr>
      <w:spacing w:before="100"/>
    </w:pPr>
  </w:style>
  <w:style w:type="paragraph" w:customStyle="1" w:styleId="Listnum">
    <w:name w:val="List num"/>
    <w:basedOn w:val="Normal"/>
    <w:uiPriority w:val="1"/>
    <w:qFormat/>
    <w:rsid w:val="00EC171D"/>
    <w:pPr>
      <w:numPr>
        <w:numId w:val="2"/>
      </w:numPr>
    </w:pPr>
  </w:style>
  <w:style w:type="paragraph" w:customStyle="1" w:styleId="Listnum2">
    <w:name w:val="List num 2"/>
    <w:basedOn w:val="Normal"/>
    <w:uiPriority w:val="1"/>
    <w:qFormat/>
    <w:rsid w:val="00EC171D"/>
    <w:pPr>
      <w:numPr>
        <w:ilvl w:val="1"/>
        <w:numId w:val="2"/>
      </w:numPr>
    </w:pPr>
  </w:style>
  <w:style w:type="paragraph" w:customStyle="1" w:styleId="Tabletextcentred">
    <w:name w:val="Table text centred"/>
    <w:basedOn w:val="Tabletext"/>
    <w:uiPriority w:val="6"/>
    <w:qFormat/>
    <w:rsid w:val="00EC171D"/>
    <w:pPr>
      <w:jc w:val="center"/>
    </w:pPr>
  </w:style>
  <w:style w:type="paragraph" w:customStyle="1" w:styleId="Tableheader">
    <w:name w:val="Table header"/>
    <w:basedOn w:val="Tabletext"/>
    <w:uiPriority w:val="6"/>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7"/>
    <w:rsid w:val="00DC1FC6"/>
    <w:pPr>
      <w:numPr>
        <w:numId w:val="3"/>
      </w:numPr>
    </w:pPr>
  </w:style>
  <w:style w:type="paragraph" w:customStyle="1" w:styleId="Tabledash">
    <w:name w:val="Table dash"/>
    <w:basedOn w:val="Tablebullet"/>
    <w:uiPriority w:val="7"/>
    <w:rsid w:val="00DC1FC6"/>
    <w:pPr>
      <w:numPr>
        <w:ilvl w:val="1"/>
      </w:numPr>
    </w:pPr>
  </w:style>
  <w:style w:type="paragraph" w:customStyle="1" w:styleId="Tabletextindent">
    <w:name w:val="Table text indent"/>
    <w:basedOn w:val="Tabletext"/>
    <w:uiPriority w:val="6"/>
    <w:qFormat/>
    <w:rsid w:val="00DC1FC6"/>
    <w:pPr>
      <w:ind w:left="288"/>
    </w:pPr>
  </w:style>
  <w:style w:type="paragraph" w:customStyle="1" w:styleId="Numpara">
    <w:name w:val="Num para"/>
    <w:basedOn w:val="ListParagraph"/>
    <w:uiPriority w:val="3"/>
    <w:qFormat/>
    <w:rsid w:val="00D40B38"/>
    <w:pPr>
      <w:numPr>
        <w:numId w:val="4"/>
      </w:numPr>
      <w:tabs>
        <w:tab w:val="num" w:pos="504"/>
        <w:tab w:val="left" w:pos="540"/>
      </w:tabs>
      <w:ind w:left="504" w:hanging="504"/>
    </w:pPr>
  </w:style>
  <w:style w:type="paragraph" w:styleId="ListParagraph">
    <w:name w:val="List Paragraph"/>
    <w:basedOn w:val="Normal"/>
    <w:link w:val="ListParagraphChar"/>
    <w:uiPriority w:val="34"/>
    <w:qFormat/>
    <w:rsid w:val="00D40B38"/>
    <w:pPr>
      <w:ind w:left="720"/>
      <w:contextualSpacing/>
    </w:pPr>
  </w:style>
  <w:style w:type="table" w:styleId="LightShading-Accent4">
    <w:name w:val="Light Shading Accent 4"/>
    <w:basedOn w:val="TableNormal"/>
    <w:uiPriority w:val="60"/>
    <w:rsid w:val="008F276D"/>
    <w:pPr>
      <w:spacing w:after="0" w:line="240" w:lineRule="auto"/>
    </w:pPr>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character" w:customStyle="1" w:styleId="ListParagraphChar">
    <w:name w:val="List Paragraph Char"/>
    <w:basedOn w:val="DefaultParagraphFont"/>
    <w:link w:val="ListParagraph"/>
    <w:uiPriority w:val="34"/>
    <w:rsid w:val="006D2B68"/>
    <w:rPr>
      <w:spacing w:val="2"/>
    </w:rPr>
  </w:style>
  <w:style w:type="table" w:customStyle="1" w:styleId="ColorfulGrid1">
    <w:name w:val="Colorful Grid1"/>
    <w:basedOn w:val="TableNormal"/>
    <w:semiHidden/>
    <w:rsid w:val="006D2B68"/>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6">
    <w:name w:val="Colorful Grid Accent 6"/>
    <w:basedOn w:val="TableNormal"/>
    <w:uiPriority w:val="73"/>
    <w:rsid w:val="006D2B68"/>
    <w:pPr>
      <w:spacing w:after="0" w:line="240" w:lineRule="auto"/>
    </w:pPr>
    <w:rPr>
      <w:rFonts w:ascii="Arial" w:eastAsia="Times New Roman" w:hAnsi="Arial" w:cs="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1">
    <w:name w:val="Colorful List Accent 1"/>
    <w:basedOn w:val="TableNormal"/>
    <w:uiPriority w:val="72"/>
    <w:rsid w:val="006D2B68"/>
    <w:pPr>
      <w:spacing w:after="0" w:line="240" w:lineRule="auto"/>
    </w:pPr>
    <w:rPr>
      <w:rFonts w:ascii="Arial" w:eastAsia="Times New Roman" w:hAnsi="Arial"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ghtGrid">
    <w:name w:val="Light Grid"/>
    <w:basedOn w:val="TableNormal"/>
    <w:uiPriority w:val="62"/>
    <w:rsid w:val="00AF30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AF3038"/>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List-Accent5">
    <w:name w:val="Light List Accent 5"/>
    <w:basedOn w:val="TableNormal"/>
    <w:uiPriority w:val="61"/>
    <w:rsid w:val="00AF3038"/>
    <w:pPr>
      <w:spacing w:after="0" w:line="240" w:lineRule="auto"/>
    </w:p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3">
    <w:name w:val="Light List Accent 3"/>
    <w:basedOn w:val="TableNormal"/>
    <w:uiPriority w:val="61"/>
    <w:rsid w:val="00AF3038"/>
    <w:pPr>
      <w:spacing w:after="0" w:line="240" w:lineRule="auto"/>
    </w:p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Shading-Accent3">
    <w:name w:val="Light Shading Accent 3"/>
    <w:basedOn w:val="TableNormal"/>
    <w:uiPriority w:val="60"/>
    <w:rsid w:val="00AF3038"/>
    <w:pPr>
      <w:spacing w:after="0" w:line="240" w:lineRule="auto"/>
    </w:pPr>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Landscap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E7B4-CAF7-45C2-BD7D-13FCC7BE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Landscape.dotx</Template>
  <TotalTime>0</TotalTime>
  <Pages>9</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Hogan</dc:creator>
  <cp:lastModifiedBy>Elizabeth Ascroft</cp:lastModifiedBy>
  <cp:revision>2</cp:revision>
  <cp:lastPrinted>2016-03-10T01:50:00Z</cp:lastPrinted>
  <dcterms:created xsi:type="dcterms:W3CDTF">2018-01-30T22:37:00Z</dcterms:created>
  <dcterms:modified xsi:type="dcterms:W3CDTF">2018-01-30T22:37:00Z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4317720a-29c1-4c6c-91aa-2bb80aeb6d56</vt:lpwstr>
  </property>
  <property fmtid="{D5CDD505-2E9C-101B-9397-08002B2CF9AE}" pid="3" name="PSPFClassification">
    <vt:lpwstr>Do Not Mark</vt:lpwstr>
  </property>
</Properties>
</file>